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黑体"/>
          <w:sz w:val="44"/>
          <w:szCs w:val="44"/>
          <w:u w:color="000000"/>
          <w:lang w:val="zh-TW"/>
        </w:rPr>
      </w:pPr>
      <w:r>
        <w:rPr>
          <w:rFonts w:hint="eastAsia" w:ascii="方正小标宋_GBK" w:hAnsi="宋体" w:eastAsia="方正小标宋_GBK" w:cs="黑体"/>
          <w:sz w:val="44"/>
          <w:szCs w:val="44"/>
          <w:u w:color="000000"/>
          <w:lang w:val="zh-TW" w:eastAsia="zh-TW"/>
        </w:rPr>
        <w:t>工作报告有关名词解释</w:t>
      </w:r>
    </w:p>
    <w:p>
      <w:pPr>
        <w:spacing w:line="560" w:lineRule="exact"/>
        <w:jc w:val="center"/>
        <w:rPr>
          <w:rFonts w:ascii="方正小标宋_GBK" w:hAnsi="宋体" w:eastAsia="方正小标宋_GBK" w:cs="黑体"/>
          <w:sz w:val="44"/>
          <w:szCs w:val="44"/>
          <w:u w:color="000000"/>
          <w:lang w:val="zh-TW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1.两区一极：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科学发展示范区，综合配套改革先行区，深圳新的区域发展极。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2.整村统筹：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综合运用规划、土地、产权等相关政策手段，优化整合城市空间，一揽子解决农村城市化过程中产生的土地历史遗留问题，统筹推进社区转型发展。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3.四个平台：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集体资产管理平台、集体资产交易平台、股份合作公司财务监管平台、基层干部出国（境）证照监管平台。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4.织网工程：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公共信息资源库、网格信息员队伍、社会管理工作网、社区家园网、社区综合信息采集系统、决策分析支持系统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基本构架，建设覆盖市、区、街道、社区四级的综合信息系统。将各部门服务管理信息资源编织到统一数据库，通过信息采集、比对核实和数据交换，实现信息资源动态管理、互联互通和共建共享，再造政府流程，提升服务效能和城市管理精细化程度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5.智慧城市：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是指在城市发展过程中，在城市基础设施、资源环境、社会民生等领域中，充分利用物联网、互联网、云计算、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IT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、智能分析等信息通信技术手段，对城市居民生活工作、企业经营发展和政府行使职能过程中的相关活动与需求，进行智慧地感知、分析、集成和应对，为市民提供一个更美好的生活和工作环境，为企业创造一个更有利的商业发展环境，为政府构建一个更高效的城市运营治理环境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6.四包两到：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每个挂（驻）点社区的领导包基层党建、包社区发展、包协调解决问题、包社区和谐稳定；要到小村、要走访到每一个特殊困难户。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7.三严三实：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严以修身、严以用权、严以律己；谋事要实、创业要实、做人要实。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8.“两学一做”学习教育：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学习共产党党</w:t>
      </w:r>
      <w:r>
        <w:fldChar w:fldCharType="begin"/>
      </w:r>
      <w:r>
        <w:instrText xml:space="preserve"> HYPERLINK "http://baike.baidu.com/view/36759.htm"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党规、</w:t>
      </w:r>
      <w:r>
        <w:fldChar w:fldCharType="begin"/>
      </w:r>
      <w:r>
        <w:instrText xml:space="preserve"> HYPERLINK "http://baike.baidu.com/item/%E5%85%B3%E4%BA%8E%E5%9C%A8%E5%85%A8%E4%BD%93%E5%85%9A%E5%91%98%E4%B8%AD%E5%BC%80%E5%B1%95%E2%80%9C%E5%AD%A6%E5%85%9A%E7%AB%A0%E5%85%9A%E8%A7%84%E3%80%81%E5%AD%A6%E7%B3%BB%E5%88%97%E8%AE%B2%E8%AF%9D%EF%BC%8C%E5%81%9A%E5%90%88%E6%A0%BC%E5%85%9A%E5%91%98%E2%80%9D%E5%AD%A6%E4%B9%A0%E6%95%99%E8%82%B2%E6%96%B9%E6%A1%88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学习贯彻习近平总书记系列重要讲话精神，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做合格</w:t>
      </w:r>
      <w:r>
        <w:fldChar w:fldCharType="begin"/>
      </w:r>
      <w:r>
        <w:instrText xml:space="preserve"> HYPERLINK "http://baike.baidu.com/view/98530.htm"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党员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9.四风：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形式主义、官僚主义、享乐主义、奢靡之风。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10.“一门式、一网式”服务：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指行政审批服务事项办理集中到区、街道、社区三级政务服务中心，群众办事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一门办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指优化完善网上办事大厅功能，推动审批事项、业务系统与网上办事大厅的无缝对接，群众办事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一网办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11.两横四纵：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两横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指深汕高速公路、南坪快速路三期；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四纵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指东部过境高速、坪盐通道、绿梓大道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坪西快速路、外环高速公路。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12.坪山大道：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由新横坪公路（规划碧秀路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锦龙大道段）、中山大道、金山路、深汕路（坪山段）组成，是自西向东贯穿坪山的对外交通主干道。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13.河长制：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由各级党政负责人担任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河长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，负责辖区内河流的污染治理。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14.“</w:t>
      </w:r>
      <w:r>
        <w:rPr>
          <w:rFonts w:hint="eastAsia" w:ascii="Times New Roman" w:hAnsi="Times New Roman" w:eastAsia="黑体" w:cs="Times New Roman"/>
          <w:sz w:val="32"/>
          <w:szCs w:val="32"/>
        </w:rPr>
        <w:t>五位一体”总体布局：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党的十八大着眼于全面建成小康社会、实现社会主义现代化和中华民族伟大复兴，作出的经济建设、政治建设、文化建设、社会建设、生态文明建设总体布局。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15.</w:t>
      </w:r>
      <w:r>
        <w:rPr>
          <w:rFonts w:hint="eastAsia" w:ascii="黑体" w:hAnsi="黑体" w:eastAsia="黑体" w:cs="Times New Roman"/>
          <w:snapToGrid w:val="0"/>
          <w:sz w:val="32"/>
          <w:szCs w:val="32"/>
        </w:rPr>
        <w:t>“四个全面”战略布局：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全面建成小康社会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、</w:t>
      </w:r>
      <w:r>
        <w:fldChar w:fldCharType="begin"/>
      </w:r>
      <w:r>
        <w:instrText xml:space="preserve"> HYPERLINK "http://baike.baidu.com/view/11627838.htm"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全面深化改革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、</w:t>
      </w:r>
      <w:r>
        <w:fldChar w:fldCharType="begin"/>
      </w:r>
      <w:r>
        <w:instrText xml:space="preserve"> HYPERLINK "http://baike.baidu.com/view/813892.htm"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fldChar w:fldCharType="begin"/>
      </w:r>
      <w:r>
        <w:instrText xml:space="preserve"> HYPERLINK "http://baike.baidu.com/view/50940.htm"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依法治国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全面从严治党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</w:t>
      </w:r>
      <w:r>
        <w:rPr>
          <w:rFonts w:hint="eastAsia" w:ascii="黑体" w:hAnsi="黑体" w:eastAsia="黑体" w:cs="Times New Roman"/>
          <w:sz w:val="32"/>
          <w:szCs w:val="32"/>
        </w:rPr>
        <w:t>聚龙计划：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指我区制定的高层次人才聚集工程实施计划。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1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.“小巨人”计划：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围绕生物、新能源、新一代信息技术等重点产业，加大政策等扶持力度，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支持具有战略前景的中小微企业快速成长，新增一批具有竞争力的行业龙头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.三城一区三带：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聚龙科技创新城、坪山中心城、碧湖文化健康城、慢生活生态休闲区，以及现代都市发展带、坪山河风情带和现代都市农业观光带。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.海绵城市：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指城市能够像海绵一样，在适应环境变化和应对自然灾害等方面具有良好的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弹性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，下雨时吸水、蓄水、渗水、净水，需要时将蓄存的水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释放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并加以利用，最大限度地实现雨水在城市区域的积存、渗透和净化，促进雨水资源的利用和生态环境保护。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.“3+2”经济圈：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指由深圳、东莞、惠州与河源、汕尾组成的经济圈。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.“六横八纵”城市主干路网：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六横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指新横坪公路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中山大道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深汕路东段、丹梓大道、老横坪公路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兰竹路、沙陂东路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碧沙东路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新合路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金龙路、深汕路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东纵路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银田路、锦龙大道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平联路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比亚迪路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金田路；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八纵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宝坪路、宝汤路、深汕路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马峦北路、龙坪路、荔景路、龙兴路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光祖路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兰景路、聚龙路、丹梓北路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青松路。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.“10、30、60”分钟都市交通圈：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分钟接入高快速路网，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分钟抵达市中心区，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分钟可达深圳市全域及莞惠河汕中心城区。</w:t>
      </w:r>
    </w:p>
    <w:p>
      <w:pPr>
        <w:snapToGrid w:val="0"/>
        <w:spacing w:line="560" w:lineRule="exact"/>
        <w:ind w:firstLine="640" w:firstLineChars="200"/>
        <w:rPr>
          <w:rFonts w:ascii="Times New Roman" w:hAnsi="Palace Script MT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.本质安全：</w:t>
      </w:r>
      <w:r>
        <w:rPr>
          <w:rFonts w:hint="eastAsia" w:ascii="Times New Roman" w:hAnsi="Palace Script MT" w:eastAsia="仿宋_GB2312" w:cs="Times New Roman"/>
          <w:sz w:val="32"/>
          <w:szCs w:val="32"/>
        </w:rPr>
        <w:t>通过追求企业生产流程中人、物、系统、制度等诸要素的安全可靠和谐统一，使各种</w:t>
      </w:r>
      <w:r>
        <w:fldChar w:fldCharType="begin"/>
      </w:r>
      <w:r>
        <w:instrText xml:space="preserve"> HYPERLINK "https://www.baidu.com/s?wd=%E5%8D%B1%E5%AE%B3%E5%9B%A0%E7%B4%A0&amp;tn=44039180_cpr&amp;fenlei=mv6quAkxTZn0IZRqIHckPjm4nH00T1YLuAn4rHu9PHm3mHDzmHm30ZwV5Hcvrjm3rH6sPfKWUMw85HfYnjn4nH6sgvPsT6KdThsqpZwYTjCEQLGCpyw9Uz4Bmy-bIi4WUvYETgN-TLwGUv3EnHbknHRYrH0z" \t "_blank" </w:instrText>
      </w:r>
      <w:r>
        <w:fldChar w:fldCharType="separate"/>
      </w:r>
      <w:r>
        <w:rPr>
          <w:rFonts w:hint="eastAsia" w:ascii="Times New Roman" w:hAnsi="Palace Script MT" w:eastAsia="仿宋_GB2312" w:cs="Times New Roman"/>
          <w:sz w:val="32"/>
          <w:szCs w:val="32"/>
        </w:rPr>
        <w:t>危害因素</w:t>
      </w:r>
      <w:r>
        <w:rPr>
          <w:rFonts w:hint="eastAsia" w:ascii="Times New Roman" w:hAnsi="Palace Script MT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Palace Script MT" w:eastAsia="仿宋_GB2312" w:cs="Times New Roman"/>
          <w:sz w:val="32"/>
          <w:szCs w:val="32"/>
        </w:rPr>
        <w:t>始终处于受控制状态，进而逐步趋近本质型、恒久型安全目标。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napToGrid w:val="0"/>
          <w:sz w:val="32"/>
          <w:szCs w:val="32"/>
        </w:rPr>
        <w:t>.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科技围合：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综合运用身份验证、门禁管理、移动警务终端、车辆自动识别系统、视频监控、人脸识别系统、社区防控联网平台建设等手段，提升社区治安管理水平。</w:t>
      </w:r>
    </w:p>
    <w:p>
      <w:pPr>
        <w:snapToGrid w:val="0"/>
        <w:spacing w:line="560" w:lineRule="exact"/>
        <w:ind w:firstLine="640" w:firstLineChars="200"/>
        <w:rPr>
          <w:rFonts w:ascii="Times New Roman" w:hAnsi="Palace Script MT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snapToGrid w:val="0"/>
          <w:sz w:val="32"/>
          <w:szCs w:val="32"/>
        </w:rPr>
        <w:t>.查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违“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1+2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”文件：</w:t>
      </w:r>
      <w:r>
        <w:rPr>
          <w:rFonts w:hint="eastAsia" w:ascii="Times New Roman" w:hAnsi="Palace Script MT" w:eastAsia="仿宋_GB2312" w:cs="Times New Roman"/>
          <w:sz w:val="32"/>
          <w:szCs w:val="32"/>
        </w:rPr>
        <w:t>《关于严查严控违法建设的决定》和《关于全面疏导从源头遏制违法建设的若干措施》、《查处违法用地和违法建筑工作共同责任考核办法》。</w:t>
      </w:r>
    </w:p>
    <w:p>
      <w:pPr>
        <w:snapToGrid w:val="0"/>
        <w:spacing w:line="560" w:lineRule="exact"/>
        <w:ind w:firstLine="640" w:firstLineChars="200"/>
        <w:rPr>
          <w:rFonts w:ascii="Times New Roman" w:hAnsi="Palace Script MT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Times New Roman"/>
          <w:sz w:val="32"/>
          <w:szCs w:val="32"/>
        </w:rPr>
        <w:t>.五</w:t>
      </w:r>
      <w:r>
        <w:rPr>
          <w:rFonts w:hint="eastAsia" w:ascii="Times New Roman" w:hAnsi="Times New Roman" w:eastAsia="黑体" w:cs="Times New Roman"/>
          <w:sz w:val="32"/>
          <w:szCs w:val="32"/>
        </w:rPr>
        <w:t>化：</w:t>
      </w:r>
      <w:r>
        <w:rPr>
          <w:rFonts w:hint="eastAsia" w:ascii="Times New Roman" w:hAnsi="Palace Script MT" w:eastAsia="仿宋_GB2312" w:cs="Times New Roman"/>
          <w:sz w:val="32"/>
          <w:szCs w:val="32"/>
        </w:rPr>
        <w:t>净化、文化、绿化、美化、硬化。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Times New Roman"/>
          <w:sz w:val="32"/>
          <w:szCs w:val="32"/>
        </w:rPr>
        <w:t>.绿色</w:t>
      </w:r>
      <w:r>
        <w:rPr>
          <w:rFonts w:hint="eastAsia" w:ascii="Times New Roman" w:hAnsi="Times New Roman" w:eastAsia="黑体" w:cs="Times New Roman"/>
          <w:sz w:val="32"/>
          <w:szCs w:val="32"/>
        </w:rPr>
        <w:t>建筑：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指在建筑的全寿命周期内，最大限度节能、节地、节水、节材、保护环境和减少污染的建筑。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Times New Roman"/>
          <w:sz w:val="32"/>
          <w:szCs w:val="32"/>
        </w:rPr>
        <w:t>.“一山一河</w:t>
      </w:r>
      <w:r>
        <w:rPr>
          <w:rFonts w:hint="eastAsia" w:ascii="Times New Roman" w:hAnsi="Times New Roman" w:eastAsia="黑体" w:cs="Times New Roman"/>
          <w:sz w:val="32"/>
          <w:szCs w:val="32"/>
        </w:rPr>
        <w:t>”和“一湿地一村落”：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马峦山和坪山河，聚龙山湿地生态园和金龟村。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.代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建制：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是指政府通过招标等方式，选择市场化、专业化的建设单位，承担政府投资项目的投资管理和建设组织实施工作，项目建成后交付政府等使用单位的制度。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.EPC总承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包模式：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是指受政府等单位委托，工程总承包商按照合同约定对工程项目的可行性研究、设计、采购、施工等实行全过程或若干阶段承包的模式，工程总承包企业对承包工程的安全、质量、进度和造价全面负责。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.“三名”工</w:t>
      </w:r>
      <w:r>
        <w:rPr>
          <w:rFonts w:hint="eastAsia" w:ascii="Times New Roman" w:hAnsi="Times New Roman" w:eastAsia="黑体" w:cs="Times New Roman"/>
          <w:sz w:val="32"/>
          <w:szCs w:val="32"/>
        </w:rPr>
        <w:t>程：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引进和培育名医（名科）、名医院、名诊所。</w:t>
      </w:r>
    </w:p>
    <w:p>
      <w:pPr>
        <w:ind w:firstLine="640" w:firstLineChars="200"/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.活化研究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把遗产资源转化成旅游产品而又不影响遗产的保护传承，从而使遗产资源获得新的活力，进而持久发展。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ce Script MT">
    <w:altName w:val="Mongolian Baiti"/>
    <w:panose1 w:val="030303020206070C0B05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707"/>
    <w:rsid w:val="005C13B8"/>
    <w:rsid w:val="00C11707"/>
    <w:rsid w:val="00F1653F"/>
    <w:rsid w:val="64053763"/>
    <w:rsid w:val="DFFC8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524</Words>
  <Characters>2991</Characters>
  <Lines>24</Lines>
  <Paragraphs>7</Paragraphs>
  <TotalTime>2</TotalTime>
  <ScaleCrop>false</ScaleCrop>
  <LinksUpToDate>false</LinksUpToDate>
  <CharactersWithSpaces>3508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2017-01-23T15:10:00Z</dcterms:created>
  <dc:creator>彭楠</dc:creator>
  <cp:lastModifiedBy>xzk</cp:lastModifiedBy>
  <dcterms:modified xsi:type="dcterms:W3CDTF">2023-05-19T17:13:11Z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