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ascii="宋体" w:hAnsi="宋体" w:eastAsia="宋体" w:cs="Times New Roman"/>
          <w:b/>
          <w:sz w:val="28"/>
          <w:szCs w:val="28"/>
        </w:rPr>
      </w:pPr>
      <w:r>
        <w:rPr>
          <w:rFonts w:hint="eastAsia" w:ascii="宋体" w:hAnsi="宋体" w:eastAsia="宋体" w:cs="Times New Roman"/>
          <w:b/>
          <w:sz w:val="28"/>
          <w:szCs w:val="28"/>
        </w:rPr>
        <w:t>《2023年深圳市坪山区城市更新单元计划第八批计划（草案）》</w:t>
      </w:r>
    </w:p>
    <w:p>
      <w:pPr>
        <w:adjustRightInd w:val="0"/>
        <w:snapToGrid w:val="0"/>
        <w:jc w:val="center"/>
        <w:outlineLvl w:val="0"/>
        <w:rPr>
          <w:rFonts w:ascii="宋体" w:hAnsi="宋体" w:eastAsia="宋体" w:cs="Times New Roman"/>
          <w:b/>
          <w:sz w:val="32"/>
          <w:szCs w:val="32"/>
        </w:rPr>
      </w:pPr>
      <w:r>
        <w:rPr>
          <w:rFonts w:hint="eastAsia" w:ascii="宋体" w:hAnsi="宋体" w:eastAsia="宋体" w:cs="Times New Roman"/>
          <w:b/>
          <w:sz w:val="28"/>
          <w:szCs w:val="28"/>
        </w:rPr>
        <w:t>一览表</w:t>
      </w:r>
    </w:p>
    <w:tbl>
      <w:tblPr>
        <w:tblStyle w:val="6"/>
        <w:tblW w:w="89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5"/>
        <w:gridCol w:w="850"/>
        <w:gridCol w:w="850"/>
        <w:gridCol w:w="1134"/>
        <w:gridCol w:w="1276"/>
        <w:gridCol w:w="1088"/>
        <w:gridCol w:w="33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jc w:val="center"/>
        </w:trPr>
        <w:tc>
          <w:tcPr>
            <w:tcW w:w="4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编号</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辖区</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街道</w:t>
            </w:r>
          </w:p>
        </w:tc>
        <w:tc>
          <w:tcPr>
            <w:tcW w:w="11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单元名称</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申报主体</w:t>
            </w:r>
          </w:p>
        </w:tc>
        <w:tc>
          <w:tcPr>
            <w:tcW w:w="10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拆除范围用地面积（平方米）</w:t>
            </w:r>
          </w:p>
        </w:tc>
        <w:tc>
          <w:tcPr>
            <w:tcW w:w="33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4" w:hRule="atLeast"/>
          <w:jc w:val="center"/>
        </w:trPr>
        <w:tc>
          <w:tcPr>
            <w:tcW w:w="4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1</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仿宋_GB2312" w:eastAsia="仿宋_GB2312"/>
                <w:sz w:val="24"/>
                <w:lang w:val="en"/>
              </w:rPr>
            </w:pPr>
            <w:r>
              <w:rPr>
                <w:rFonts w:hint="eastAsia" w:ascii="仿宋_GB2312" w:eastAsia="仿宋_GB2312"/>
                <w:sz w:val="24"/>
                <w:lang w:val="en"/>
              </w:rPr>
              <w:t>坪山区</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仿宋_GB2312" w:eastAsia="仿宋_GB2312"/>
                <w:sz w:val="24"/>
              </w:rPr>
            </w:pPr>
            <w:r>
              <w:rPr>
                <w:rFonts w:hint="eastAsia" w:ascii="仿宋_GB2312" w:eastAsia="仿宋_GB2312"/>
                <w:sz w:val="24"/>
              </w:rPr>
              <w:t>坪山街道</w:t>
            </w:r>
          </w:p>
        </w:tc>
        <w:tc>
          <w:tcPr>
            <w:tcW w:w="11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rPr>
                <w:rFonts w:ascii="仿宋_GB2312" w:eastAsia="仿宋_GB2312"/>
                <w:sz w:val="24"/>
              </w:rPr>
            </w:pPr>
            <w:r>
              <w:rPr>
                <w:rFonts w:hint="eastAsia" w:ascii="仿宋_GB2312" w:eastAsia="仿宋_GB2312"/>
                <w:sz w:val="24"/>
              </w:rPr>
              <w:t>宝山北片区城市更新单元（计划调整）</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rPr>
                <w:rFonts w:ascii="仿宋_GB2312" w:eastAsia="仿宋_GB2312"/>
                <w:sz w:val="24"/>
              </w:rPr>
            </w:pPr>
            <w:r>
              <w:rPr>
                <w:rFonts w:hint="eastAsia" w:ascii="仿宋_GB2312" w:eastAsia="仿宋_GB2312"/>
                <w:sz w:val="24"/>
              </w:rPr>
              <w:t>广东联泰地产有限公司</w:t>
            </w:r>
          </w:p>
        </w:tc>
        <w:tc>
          <w:tcPr>
            <w:tcW w:w="10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仿宋_GB2312" w:hAnsi="Times New Roman" w:eastAsia="仿宋_GB2312" w:cs="Times New Roman"/>
                <w:sz w:val="24"/>
              </w:rPr>
            </w:pPr>
            <w:r>
              <w:rPr>
                <w:rFonts w:ascii="仿宋_GB2312" w:hAnsi="Times New Roman" w:eastAsia="仿宋_GB2312" w:cs="Times New Roman"/>
                <w:sz w:val="24"/>
              </w:rPr>
              <w:t>181169</w:t>
            </w:r>
          </w:p>
        </w:tc>
        <w:tc>
          <w:tcPr>
            <w:tcW w:w="33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8"/>
              <w:adjustRightInd w:val="0"/>
              <w:snapToGrid w:val="0"/>
              <w:ind w:firstLine="0" w:firstLineChars="0"/>
              <w:jc w:val="left"/>
              <w:rPr>
                <w:rFonts w:hint="eastAsia" w:ascii="仿宋_GB2312" w:eastAsia="仿宋_GB2312"/>
                <w:sz w:val="24"/>
              </w:rPr>
            </w:pPr>
            <w:r>
              <w:rPr>
                <w:rFonts w:hint="eastAsia" w:ascii="仿宋_GB2312" w:eastAsia="仿宋_GB2312"/>
                <w:sz w:val="24"/>
              </w:rPr>
              <w:t>①</w:t>
            </w:r>
            <w:bookmarkStart w:id="0" w:name="_GoBack"/>
            <w:r>
              <w:rPr>
                <w:rFonts w:hint="eastAsia" w:ascii="仿宋_GB2312" w:eastAsia="仿宋_GB2312"/>
                <w:sz w:val="24"/>
              </w:rPr>
              <w:t>拟更新方向为居住、商业等功能</w:t>
            </w:r>
            <w:r>
              <w:rPr>
                <w:rFonts w:hint="eastAsia" w:ascii="仿宋_GB2312" w:eastAsia="仿宋_GB2312"/>
                <w:sz w:val="24"/>
              </w:rPr>
              <w:t>；</w:t>
            </w:r>
          </w:p>
          <w:bookmarkEnd w:id="0"/>
          <w:p>
            <w:pPr>
              <w:pStyle w:val="8"/>
              <w:adjustRightInd w:val="0"/>
              <w:snapToGrid w:val="0"/>
              <w:ind w:firstLine="0" w:firstLineChars="0"/>
              <w:jc w:val="left"/>
              <w:rPr>
                <w:rFonts w:ascii="仿宋_GB2312" w:eastAsia="仿宋_GB2312"/>
                <w:sz w:val="24"/>
              </w:rPr>
            </w:pPr>
            <w:r>
              <w:rPr>
                <w:rFonts w:hint="eastAsia" w:ascii="仿宋_GB2312" w:eastAsia="仿宋_GB2312"/>
                <w:sz w:val="24"/>
              </w:rPr>
              <w:t>②拟拆除重建用地范围内应落实用地面积不小于83897平方米的城市基础设施用地、公共服务设施用地等，其中应落实用地面积不小于25958平方米的公园绿地、用地面积不小于4626平方米的教育设施用地和用地面积不小于6586平方米的文体设施用地；</w:t>
            </w:r>
          </w:p>
          <w:p>
            <w:pPr>
              <w:pStyle w:val="8"/>
              <w:adjustRightInd w:val="0"/>
              <w:snapToGrid w:val="0"/>
              <w:ind w:firstLine="0" w:firstLineChars="0"/>
              <w:jc w:val="left"/>
              <w:rPr>
                <w:rFonts w:ascii="仿宋_GB2312" w:eastAsia="仿宋_GB2312"/>
                <w:sz w:val="24"/>
              </w:rPr>
            </w:pPr>
            <w:r>
              <w:rPr>
                <w:rFonts w:hint="eastAsia" w:ascii="仿宋_GB2312" w:eastAsia="仿宋_GB2312"/>
                <w:sz w:val="24"/>
              </w:rPr>
              <w:t>③在更新单元规划阶段按规定落实深圳市城市总体规划等相关法定规划的管控要求；④更新单元计划有效期2年，自公告之日起生效。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9" w:hRule="atLeast"/>
          <w:jc w:val="center"/>
        </w:trPr>
        <w:tc>
          <w:tcPr>
            <w:tcW w:w="8936"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left"/>
              <w:rPr>
                <w:rFonts w:ascii="仿宋_GB2312" w:eastAsia="仿宋_GB2312"/>
                <w:sz w:val="24"/>
              </w:rPr>
            </w:pPr>
            <w:r>
              <w:rPr>
                <w:rFonts w:hint="eastAsia" w:ascii="仿宋_GB2312" w:eastAsia="仿宋_GB2312"/>
                <w:sz w:val="24"/>
              </w:rPr>
              <w:t>特别提示：</w:t>
            </w:r>
          </w:p>
          <w:p>
            <w:pPr>
              <w:adjustRightInd w:val="0"/>
              <w:snapToGrid w:val="0"/>
              <w:jc w:val="left"/>
              <w:rPr>
                <w:rFonts w:ascii="仿宋_GB2312" w:eastAsia="仿宋_GB2312"/>
                <w:sz w:val="24"/>
              </w:rPr>
            </w:pPr>
            <w:r>
              <w:rPr>
                <w:rFonts w:hint="eastAsia" w:ascii="仿宋_GB2312" w:eastAsia="仿宋_GB2312"/>
                <w:sz w:val="24"/>
              </w:rPr>
              <w:t>1.本表所列的城市更新单元须按照城市更新相关政策完成城市更新单元规划编制及项目实施主体确认等工作后方可实施开发建设。</w:t>
            </w:r>
          </w:p>
          <w:p>
            <w:pPr>
              <w:adjustRightInd w:val="0"/>
              <w:snapToGrid w:val="0"/>
              <w:jc w:val="left"/>
              <w:rPr>
                <w:rFonts w:ascii="仿宋_GB2312" w:eastAsia="仿宋_GB2312"/>
                <w:sz w:val="24"/>
              </w:rPr>
            </w:pPr>
            <w:r>
              <w:rPr>
                <w:rFonts w:hint="eastAsia" w:ascii="仿宋_GB2312" w:eastAsia="仿宋_GB2312"/>
                <w:sz w:val="24"/>
              </w:rPr>
              <w:t>2.本表所列“申报主体”仅为城市更新单元计划的申报主体，项目实施主体须依据城市更新政策规定的条件及程序进行确认后产生。</w:t>
            </w:r>
          </w:p>
          <w:p>
            <w:pPr>
              <w:adjustRightInd w:val="0"/>
              <w:snapToGrid w:val="0"/>
              <w:jc w:val="left"/>
              <w:rPr>
                <w:rFonts w:ascii="仿宋_GB2312" w:eastAsia="仿宋_GB2312"/>
                <w:sz w:val="24"/>
              </w:rPr>
            </w:pPr>
            <w:r>
              <w:rPr>
                <w:rFonts w:hint="eastAsia" w:ascii="仿宋_GB2312" w:eastAsia="仿宋_GB2312"/>
                <w:sz w:val="24"/>
              </w:rPr>
              <w:t>3.在本表所列的计划有效期内，更新单元规划未获市政府或其授权机构批准的，更新单元计划失效。</w:t>
            </w:r>
          </w:p>
          <w:p>
            <w:pPr>
              <w:adjustRightInd w:val="0"/>
              <w:snapToGrid w:val="0"/>
              <w:jc w:val="left"/>
              <w:rPr>
                <w:rFonts w:ascii="仿宋_GB2312" w:eastAsia="仿宋_GB2312"/>
                <w:sz w:val="24"/>
              </w:rPr>
            </w:pPr>
            <w:r>
              <w:rPr>
                <w:rFonts w:hint="eastAsia" w:ascii="仿宋_GB2312" w:eastAsia="仿宋_GB2312"/>
                <w:sz w:val="24"/>
              </w:rPr>
              <w:t>4.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p>
        </w:tc>
      </w:tr>
    </w:tbl>
    <w:p>
      <w:pPr>
        <w:adjustRightInd w:val="0"/>
        <w:snapToGrid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92"/>
    <w:rsid w:val="00071AE8"/>
    <w:rsid w:val="0010047A"/>
    <w:rsid w:val="001110F7"/>
    <w:rsid w:val="00166422"/>
    <w:rsid w:val="001E7563"/>
    <w:rsid w:val="00251C8D"/>
    <w:rsid w:val="002E2AF5"/>
    <w:rsid w:val="00307C56"/>
    <w:rsid w:val="00323841"/>
    <w:rsid w:val="004E6292"/>
    <w:rsid w:val="0056722D"/>
    <w:rsid w:val="005D128F"/>
    <w:rsid w:val="007A2DC0"/>
    <w:rsid w:val="00803742"/>
    <w:rsid w:val="00805D64"/>
    <w:rsid w:val="008F5202"/>
    <w:rsid w:val="00927B72"/>
    <w:rsid w:val="009D46D0"/>
    <w:rsid w:val="00AD7B40"/>
    <w:rsid w:val="00AE5E93"/>
    <w:rsid w:val="00B21357"/>
    <w:rsid w:val="00CE373D"/>
    <w:rsid w:val="00D317E9"/>
    <w:rsid w:val="00F15C4B"/>
    <w:rsid w:val="00F23943"/>
    <w:rsid w:val="00F46997"/>
    <w:rsid w:val="00F95D65"/>
    <w:rsid w:val="01A80568"/>
    <w:rsid w:val="04786746"/>
    <w:rsid w:val="07F049C2"/>
    <w:rsid w:val="09C71A77"/>
    <w:rsid w:val="09F61672"/>
    <w:rsid w:val="0CF274FB"/>
    <w:rsid w:val="119C1F93"/>
    <w:rsid w:val="11A21A13"/>
    <w:rsid w:val="151C52E5"/>
    <w:rsid w:val="16F27564"/>
    <w:rsid w:val="177B5B89"/>
    <w:rsid w:val="1C1E7A6A"/>
    <w:rsid w:val="220E6432"/>
    <w:rsid w:val="237D67D0"/>
    <w:rsid w:val="25F249C3"/>
    <w:rsid w:val="27096365"/>
    <w:rsid w:val="279A37AA"/>
    <w:rsid w:val="289962E9"/>
    <w:rsid w:val="2B3213C9"/>
    <w:rsid w:val="2BD66135"/>
    <w:rsid w:val="2CB10B37"/>
    <w:rsid w:val="2E120E9C"/>
    <w:rsid w:val="2E4B29A9"/>
    <w:rsid w:val="2ED9578C"/>
    <w:rsid w:val="2EDD201B"/>
    <w:rsid w:val="2FC73686"/>
    <w:rsid w:val="30B72627"/>
    <w:rsid w:val="317C7924"/>
    <w:rsid w:val="33D53C99"/>
    <w:rsid w:val="36FF516A"/>
    <w:rsid w:val="395A2D87"/>
    <w:rsid w:val="3AEE314A"/>
    <w:rsid w:val="3AFF8E9F"/>
    <w:rsid w:val="3B362B06"/>
    <w:rsid w:val="3B4D43CA"/>
    <w:rsid w:val="3B7D5A23"/>
    <w:rsid w:val="409E374D"/>
    <w:rsid w:val="44F77262"/>
    <w:rsid w:val="46BD40B1"/>
    <w:rsid w:val="47456127"/>
    <w:rsid w:val="4A0E150B"/>
    <w:rsid w:val="4E585197"/>
    <w:rsid w:val="4E886875"/>
    <w:rsid w:val="4F34001C"/>
    <w:rsid w:val="51463FAA"/>
    <w:rsid w:val="526C7A2C"/>
    <w:rsid w:val="54F1602E"/>
    <w:rsid w:val="550576AF"/>
    <w:rsid w:val="557DB5CA"/>
    <w:rsid w:val="568A2443"/>
    <w:rsid w:val="5710202A"/>
    <w:rsid w:val="593D43F3"/>
    <w:rsid w:val="59BB8F40"/>
    <w:rsid w:val="5CDFFA22"/>
    <w:rsid w:val="5D3F0614"/>
    <w:rsid w:val="5E37F037"/>
    <w:rsid w:val="5EFDABA1"/>
    <w:rsid w:val="5FAF7E38"/>
    <w:rsid w:val="5FED23D5"/>
    <w:rsid w:val="608E2770"/>
    <w:rsid w:val="694723B8"/>
    <w:rsid w:val="6A9256A5"/>
    <w:rsid w:val="6C3A7D7A"/>
    <w:rsid w:val="6C42205F"/>
    <w:rsid w:val="6D56E692"/>
    <w:rsid w:val="6FF74F05"/>
    <w:rsid w:val="70D77839"/>
    <w:rsid w:val="715A33C3"/>
    <w:rsid w:val="71CE6FFA"/>
    <w:rsid w:val="72C01CB5"/>
    <w:rsid w:val="74697EA8"/>
    <w:rsid w:val="747EC5F6"/>
    <w:rsid w:val="75ABBB37"/>
    <w:rsid w:val="75EFEFA9"/>
    <w:rsid w:val="769A00AA"/>
    <w:rsid w:val="76D9EE69"/>
    <w:rsid w:val="77940825"/>
    <w:rsid w:val="77FEEC0B"/>
    <w:rsid w:val="7859519B"/>
    <w:rsid w:val="7B6F4B00"/>
    <w:rsid w:val="7BFF6F06"/>
    <w:rsid w:val="7D1D0E92"/>
    <w:rsid w:val="7DEF07D2"/>
    <w:rsid w:val="7EDF5EA8"/>
    <w:rsid w:val="7F9D1816"/>
    <w:rsid w:val="7FAE00B2"/>
    <w:rsid w:val="9DCF311D"/>
    <w:rsid w:val="9F8FD86C"/>
    <w:rsid w:val="AF187DEC"/>
    <w:rsid w:val="AF7DDF0B"/>
    <w:rsid w:val="B33FB105"/>
    <w:rsid w:val="BCFF3CB1"/>
    <w:rsid w:val="DABE53C7"/>
    <w:rsid w:val="DBF7893D"/>
    <w:rsid w:val="DCFF041C"/>
    <w:rsid w:val="DD571665"/>
    <w:rsid w:val="E6F70D83"/>
    <w:rsid w:val="F2BB1E92"/>
    <w:rsid w:val="F77CEB81"/>
    <w:rsid w:val="FBFF929E"/>
    <w:rsid w:val="FD5F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rPr>
  </w:style>
  <w:style w:type="paragraph" w:styleId="8">
    <w:name w:val="List Paragraph"/>
    <w:basedOn w:val="1"/>
    <w:qFormat/>
    <w:uiPriority w:val="34"/>
    <w:pPr>
      <w:ind w:firstLine="420" w:firstLineChars="200"/>
    </w:pPr>
    <w:rPr>
      <w:rFonts w:ascii="Times New Roman" w:hAnsi="Times New Roman" w:eastAsia="宋体" w:cs="Times New Roman"/>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88</Words>
  <Characters>507</Characters>
  <Lines>4</Lines>
  <Paragraphs>1</Paragraphs>
  <TotalTime>0</TotalTime>
  <ScaleCrop>false</ScaleCrop>
  <LinksUpToDate>false</LinksUpToDate>
  <CharactersWithSpaces>594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Administrator.GTW-20190306FCV</dc:creator>
  <cp:lastModifiedBy>hucheng</cp:lastModifiedBy>
  <cp:lastPrinted>2023-10-13T23:10:00Z</cp:lastPrinted>
  <dcterms:modified xsi:type="dcterms:W3CDTF">2023-10-13T17:22:31Z</dcterms:modified>
  <dc:title>坪山区相关城市更新单元计划有效期一览表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