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《2023年深圳市坪山区城市更新单元计划第八批计划》一览表</w:t>
      </w:r>
    </w:p>
    <w:tbl>
      <w:tblPr>
        <w:tblStyle w:val="9"/>
        <w:tblW w:w="893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5"/>
        <w:gridCol w:w="850"/>
        <w:gridCol w:w="850"/>
        <w:gridCol w:w="1134"/>
        <w:gridCol w:w="1276"/>
        <w:gridCol w:w="1088"/>
        <w:gridCol w:w="33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0" w:hRule="atLeast"/>
          <w:jc w:val="center"/>
        </w:trPr>
        <w:tc>
          <w:tcPr>
            <w:tcW w:w="4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编号</w:t>
            </w:r>
          </w:p>
        </w:tc>
        <w:tc>
          <w:tcPr>
            <w:tcW w:w="8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辖区</w:t>
            </w:r>
          </w:p>
        </w:tc>
        <w:tc>
          <w:tcPr>
            <w:tcW w:w="8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街道</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单元名称</w:t>
            </w:r>
          </w:p>
        </w:tc>
        <w:tc>
          <w:tcPr>
            <w:tcW w:w="127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申报主体</w:t>
            </w:r>
          </w:p>
        </w:tc>
        <w:tc>
          <w:tcPr>
            <w:tcW w:w="10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拆除范围用地面积（平方米）</w:t>
            </w:r>
          </w:p>
        </w:tc>
        <w:tc>
          <w:tcPr>
            <w:tcW w:w="333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4" w:hRule="atLeast"/>
          <w:jc w:val="center"/>
        </w:trPr>
        <w:tc>
          <w:tcPr>
            <w:tcW w:w="4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rPr>
                <w:rFonts w:ascii="宋体" w:hAnsi="宋体" w:eastAsia="宋体" w:cs="Times New Roman"/>
                <w:color w:val="000000"/>
                <w:kern w:val="0"/>
                <w:sz w:val="18"/>
                <w:szCs w:val="18"/>
              </w:rPr>
            </w:pPr>
            <w:r>
              <w:rPr>
                <w:rFonts w:hint="eastAsia" w:ascii="宋体" w:hAnsi="宋体" w:eastAsia="宋体" w:cs="Times New Roman"/>
                <w:color w:val="000000"/>
                <w:kern w:val="0"/>
                <w:sz w:val="18"/>
                <w:szCs w:val="18"/>
              </w:rPr>
              <w:t>1</w:t>
            </w:r>
          </w:p>
        </w:tc>
        <w:tc>
          <w:tcPr>
            <w:tcW w:w="8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坪山区</w:t>
            </w:r>
          </w:p>
        </w:tc>
        <w:tc>
          <w:tcPr>
            <w:tcW w:w="8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坪山街道</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宝山北片区城市更新单元（计划调整）</w:t>
            </w:r>
          </w:p>
        </w:tc>
        <w:tc>
          <w:tcPr>
            <w:tcW w:w="127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广东联泰地产有限公司</w:t>
            </w:r>
          </w:p>
        </w:tc>
        <w:tc>
          <w:tcPr>
            <w:tcW w:w="10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181169</w:t>
            </w:r>
          </w:p>
        </w:tc>
        <w:tc>
          <w:tcPr>
            <w:tcW w:w="333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11"/>
              <w:adjustRightInd w:val="0"/>
              <w:snapToGrid w:val="0"/>
              <w:ind w:firstLine="0" w:firstLineChars="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①拟更新方向为居住、商业等功能；</w:t>
            </w:r>
          </w:p>
          <w:p>
            <w:pPr>
              <w:pStyle w:val="11"/>
              <w:adjustRightInd w:val="0"/>
              <w:snapToGrid w:val="0"/>
              <w:ind w:firstLine="0" w:firstLineChars="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②拟拆除重建用地范围内应落实用地面积不小于83897平方米的城市基础设施用地、公共服务设施用地等，其中应落实用地面积不小于25958平方米的公园绿地、用地面积不小于4626平方米的教育设施用地和用地面积不小于6586平方米的文体设施用地；</w:t>
            </w:r>
          </w:p>
          <w:p>
            <w:pPr>
              <w:pStyle w:val="11"/>
              <w:adjustRightInd w:val="0"/>
              <w:snapToGrid w:val="0"/>
              <w:ind w:firstLine="0" w:firstLineChars="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③在更新单元规划阶段按规定落实深圳市城市总体规划等相关法定规划的管控要求；</w:t>
            </w:r>
          </w:p>
          <w:p>
            <w:pPr>
              <w:pStyle w:val="11"/>
              <w:adjustRightInd w:val="0"/>
              <w:snapToGrid w:val="0"/>
              <w:ind w:firstLine="0" w:firstLineChars="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④更新单元计划有效期2年，自2023年11月11日起至2025年11月10日止。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9" w:hRule="atLeast"/>
          <w:jc w:val="center"/>
        </w:trPr>
        <w:tc>
          <w:tcPr>
            <w:tcW w:w="8936" w:type="dxa"/>
            <w:gridSpan w:val="7"/>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rPr>
                <w:rFonts w:hint="eastAsia" w:ascii="黑体" w:hAnsi="黑体" w:eastAsia="黑体" w:cs="黑体"/>
                <w:b/>
                <w:bCs/>
                <w:color w:val="000000"/>
                <w:szCs w:val="21"/>
              </w:rPr>
            </w:pPr>
            <w:r>
              <w:rPr>
                <w:rFonts w:hint="eastAsia" w:ascii="黑体" w:hAnsi="黑体" w:eastAsia="黑体" w:cs="黑体"/>
                <w:b/>
                <w:bCs/>
                <w:color w:val="000000"/>
                <w:szCs w:val="21"/>
              </w:rPr>
              <w:t>特别提示：</w:t>
            </w:r>
          </w:p>
          <w:p>
            <w:pPr>
              <w:widowControl/>
              <w:spacing w:line="32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1.本</w:t>
            </w:r>
            <w:bookmarkStart w:id="0" w:name="_GoBack"/>
            <w:bookmarkEnd w:id="0"/>
            <w:r>
              <w:rPr>
                <w:rFonts w:hint="eastAsia" w:ascii="仿宋_GB2312" w:hAnsi="仿宋_GB2312" w:eastAsia="仿宋_GB2312" w:cs="仿宋_GB2312"/>
                <w:szCs w:val="21"/>
              </w:rPr>
              <w:t>表所列的城市更新单元须按照城市更新相关政策完成城市更新单元规划编制及项目实施主体确认等工作后方可实施开发建设。</w:t>
            </w:r>
          </w:p>
          <w:p>
            <w:pPr>
              <w:widowControl/>
              <w:spacing w:line="32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2.本表所列“申报主体”仅为城市更新单元计划的申报主体，项目实施主体须依据城市更新政策规定的条件及程序进行确认后产生。</w:t>
            </w:r>
          </w:p>
          <w:p>
            <w:pPr>
              <w:widowControl/>
              <w:spacing w:line="32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3.在本表所列的计划有效期内，更新单元规划未获市政府或其授权机构批准的，更新单元计划失效。</w:t>
            </w:r>
          </w:p>
          <w:p>
            <w:pPr>
              <w:widowControl/>
              <w:spacing w:line="320" w:lineRule="exact"/>
              <w:ind w:firstLine="420" w:firstLineChars="200"/>
              <w:jc w:val="left"/>
              <w:rPr>
                <w:rFonts w:ascii="仿宋_GB2312" w:eastAsia="仿宋_GB2312"/>
                <w:sz w:val="24"/>
              </w:rPr>
            </w:pPr>
            <w:r>
              <w:rPr>
                <w:rFonts w:hint="eastAsia" w:ascii="仿宋_GB2312" w:hAnsi="仿宋_GB2312" w:eastAsia="仿宋_GB2312" w:cs="仿宋_GB2312"/>
                <w:szCs w:val="21"/>
              </w:rPr>
              <w:t>4.本表所列城市更新单元的规划建设要求在城市更新单元规划审批过程中予以确定，除满足本表所列要求外，还应满足法定图则等上层次规划关于交通、市政、公共配套设施的建设要求和城市更新政策中公共利益项目等用地的移交要求。</w:t>
            </w:r>
          </w:p>
        </w:tc>
      </w:tr>
    </w:tbl>
    <w:p>
      <w:pPr>
        <w:adjustRightInd w:val="0"/>
        <w:snapToGrid w:val="0"/>
      </w:pPr>
    </w:p>
    <w:sectPr>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0000000000000000000"/>
    <w:charset w:val="00"/>
    <w:family w:val="auto"/>
    <w:pitch w:val="default"/>
    <w:sig w:usb0="00000000" w:usb1="00000000" w:usb2="00000010" w:usb3="00000000" w:csb0="000400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92"/>
    <w:rsid w:val="00071AE8"/>
    <w:rsid w:val="0010047A"/>
    <w:rsid w:val="001110F7"/>
    <w:rsid w:val="00166422"/>
    <w:rsid w:val="001E7563"/>
    <w:rsid w:val="00251C8D"/>
    <w:rsid w:val="002E2AF5"/>
    <w:rsid w:val="00304961"/>
    <w:rsid w:val="00307C56"/>
    <w:rsid w:val="00323841"/>
    <w:rsid w:val="004E6292"/>
    <w:rsid w:val="00502CD1"/>
    <w:rsid w:val="0056722D"/>
    <w:rsid w:val="005D128F"/>
    <w:rsid w:val="006A4526"/>
    <w:rsid w:val="00726058"/>
    <w:rsid w:val="007A2DC0"/>
    <w:rsid w:val="00803742"/>
    <w:rsid w:val="00805D64"/>
    <w:rsid w:val="008F5202"/>
    <w:rsid w:val="00927B72"/>
    <w:rsid w:val="00965A46"/>
    <w:rsid w:val="009A55B5"/>
    <w:rsid w:val="009D46D0"/>
    <w:rsid w:val="009F1AC9"/>
    <w:rsid w:val="00AD7B40"/>
    <w:rsid w:val="00AE5E93"/>
    <w:rsid w:val="00B21357"/>
    <w:rsid w:val="00CE373D"/>
    <w:rsid w:val="00CF0437"/>
    <w:rsid w:val="00D317E9"/>
    <w:rsid w:val="00EB6D28"/>
    <w:rsid w:val="00F15C4B"/>
    <w:rsid w:val="00F23943"/>
    <w:rsid w:val="00F46997"/>
    <w:rsid w:val="00F53301"/>
    <w:rsid w:val="00F95D65"/>
    <w:rsid w:val="01A80568"/>
    <w:rsid w:val="04786746"/>
    <w:rsid w:val="07F049C2"/>
    <w:rsid w:val="09C71A77"/>
    <w:rsid w:val="09F61672"/>
    <w:rsid w:val="0CF274FB"/>
    <w:rsid w:val="0FFF4E47"/>
    <w:rsid w:val="119C1F93"/>
    <w:rsid w:val="11A21A13"/>
    <w:rsid w:val="151C52E5"/>
    <w:rsid w:val="16F27564"/>
    <w:rsid w:val="1C1E7A6A"/>
    <w:rsid w:val="220E6432"/>
    <w:rsid w:val="237D67D0"/>
    <w:rsid w:val="25F249C3"/>
    <w:rsid w:val="27096365"/>
    <w:rsid w:val="279A37AA"/>
    <w:rsid w:val="289962E9"/>
    <w:rsid w:val="2B3213C9"/>
    <w:rsid w:val="2BD66135"/>
    <w:rsid w:val="2CB10B37"/>
    <w:rsid w:val="2E120E9C"/>
    <w:rsid w:val="2E4B29A9"/>
    <w:rsid w:val="2ED9578C"/>
    <w:rsid w:val="2EDD201B"/>
    <w:rsid w:val="2FC73686"/>
    <w:rsid w:val="30B72627"/>
    <w:rsid w:val="317C7924"/>
    <w:rsid w:val="33D53C99"/>
    <w:rsid w:val="36FF516A"/>
    <w:rsid w:val="395A2D87"/>
    <w:rsid w:val="3AEE314A"/>
    <w:rsid w:val="3AFF8E9F"/>
    <w:rsid w:val="3B362B06"/>
    <w:rsid w:val="3B4D43CA"/>
    <w:rsid w:val="3B7D5A23"/>
    <w:rsid w:val="409E374D"/>
    <w:rsid w:val="44F77262"/>
    <w:rsid w:val="46BD40B1"/>
    <w:rsid w:val="47456127"/>
    <w:rsid w:val="4A0E150B"/>
    <w:rsid w:val="4E585197"/>
    <w:rsid w:val="4E886875"/>
    <w:rsid w:val="4F34001C"/>
    <w:rsid w:val="51463FAA"/>
    <w:rsid w:val="526C7A2C"/>
    <w:rsid w:val="54F1602E"/>
    <w:rsid w:val="550576AF"/>
    <w:rsid w:val="557DB5CA"/>
    <w:rsid w:val="568A2443"/>
    <w:rsid w:val="5710202A"/>
    <w:rsid w:val="593D43F3"/>
    <w:rsid w:val="59BB8F40"/>
    <w:rsid w:val="5CDFFA22"/>
    <w:rsid w:val="5D3F0614"/>
    <w:rsid w:val="5E37F037"/>
    <w:rsid w:val="5EFDABA1"/>
    <w:rsid w:val="5FAF7E38"/>
    <w:rsid w:val="5FED23D5"/>
    <w:rsid w:val="6057A4E2"/>
    <w:rsid w:val="608E2770"/>
    <w:rsid w:val="694723B8"/>
    <w:rsid w:val="6A9256A5"/>
    <w:rsid w:val="6C3A7D7A"/>
    <w:rsid w:val="6C42205F"/>
    <w:rsid w:val="6D56E692"/>
    <w:rsid w:val="6FF74F05"/>
    <w:rsid w:val="70D77839"/>
    <w:rsid w:val="715A33C3"/>
    <w:rsid w:val="71CE6FFA"/>
    <w:rsid w:val="72C01CB5"/>
    <w:rsid w:val="74697EA8"/>
    <w:rsid w:val="747EC5F6"/>
    <w:rsid w:val="75ABBB37"/>
    <w:rsid w:val="75EFEFA9"/>
    <w:rsid w:val="769A00AA"/>
    <w:rsid w:val="76D9EE69"/>
    <w:rsid w:val="77940825"/>
    <w:rsid w:val="77FEEC0B"/>
    <w:rsid w:val="7859519B"/>
    <w:rsid w:val="7B6F4B00"/>
    <w:rsid w:val="7BFF6F06"/>
    <w:rsid w:val="7D1D0E92"/>
    <w:rsid w:val="7DEF07D2"/>
    <w:rsid w:val="7EFF5734"/>
    <w:rsid w:val="7F9D1816"/>
    <w:rsid w:val="7FAE00B2"/>
    <w:rsid w:val="9DCF311D"/>
    <w:rsid w:val="9F8FD86C"/>
    <w:rsid w:val="B1DDCF4E"/>
    <w:rsid w:val="B33FB105"/>
    <w:rsid w:val="BCFF3CB1"/>
    <w:rsid w:val="DABE53C7"/>
    <w:rsid w:val="DCFF041C"/>
    <w:rsid w:val="DD571665"/>
    <w:rsid w:val="F2BB1E92"/>
    <w:rsid w:val="F5BCC459"/>
    <w:rsid w:val="F77CEB81"/>
    <w:rsid w:val="FCDCC8A2"/>
    <w:rsid w:val="FD5F5BEF"/>
    <w:rsid w:val="FFFFE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664"/>
    </w:pPr>
    <w:rPr>
      <w:szCs w:val="20"/>
    </w:rPr>
  </w:style>
  <w:style w:type="paragraph" w:styleId="3">
    <w:name w:val="Body Text"/>
    <w:basedOn w:val="1"/>
    <w:next w:val="4"/>
    <w:unhideWhenUsed/>
    <w:qFormat/>
    <w:uiPriority w:val="99"/>
    <w:pPr>
      <w:widowControl w:val="0"/>
      <w:spacing w:after="120"/>
      <w:jc w:val="both"/>
    </w:pPr>
    <w:rPr>
      <w:kern w:val="2"/>
      <w:sz w:val="21"/>
    </w:rPr>
  </w:style>
  <w:style w:type="paragraph" w:styleId="4">
    <w:name w:val="Title"/>
    <w:basedOn w:val="1"/>
    <w:qFormat/>
    <w:uiPriority w:val="1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5">
    <w:name w:val="Balloon Text"/>
    <w:basedOn w:val="1"/>
    <w:link w:val="12"/>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rPr>
  </w:style>
  <w:style w:type="paragraph" w:styleId="11">
    <w:name w:val="List Paragraph"/>
    <w:basedOn w:val="1"/>
    <w:qFormat/>
    <w:uiPriority w:val="34"/>
    <w:pPr>
      <w:ind w:firstLine="420" w:firstLineChars="200"/>
    </w:pPr>
    <w:rPr>
      <w:rFonts w:ascii="Times New Roman" w:hAnsi="Times New Roman" w:eastAsia="宋体" w:cs="Times New Roman"/>
    </w:rPr>
  </w:style>
  <w:style w:type="character" w:customStyle="1" w:styleId="12">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13">
    <w:name w:val="页眉 Char"/>
    <w:basedOn w:val="10"/>
    <w:link w:val="7"/>
    <w:qFormat/>
    <w:uiPriority w:val="0"/>
    <w:rPr>
      <w:rFonts w:asciiTheme="minorHAnsi" w:hAnsiTheme="minorHAnsi" w:eastAsiaTheme="minorEastAsia" w:cstheme="minorBidi"/>
      <w:kern w:val="2"/>
      <w:sz w:val="18"/>
      <w:szCs w:val="18"/>
    </w:rPr>
  </w:style>
  <w:style w:type="character" w:customStyle="1" w:styleId="14">
    <w:name w:val="页脚 Char"/>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91</Words>
  <Characters>519</Characters>
  <Lines>4</Lines>
  <Paragraphs>1</Paragraphs>
  <TotalTime>2</TotalTime>
  <ScaleCrop>false</ScaleCrop>
  <LinksUpToDate>false</LinksUpToDate>
  <CharactersWithSpaces>609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2014-11-06T04:08:00Z</dcterms:created>
  <dc:creator>Administrator.GTW-20190306FCV</dc:creator>
  <cp:lastModifiedBy>xiongman</cp:lastModifiedBy>
  <cp:lastPrinted>2023-11-12T03:41:00Z</cp:lastPrinted>
  <dcterms:modified xsi:type="dcterms:W3CDTF">2023-11-10T18:08:37Z</dcterms:modified>
  <dc:title>坪山区相关城市更新单元计划有效期一览表</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