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《2023年深圳市坪山区城市更新单元计划第九批计划》一览表</w:t>
      </w:r>
    </w:p>
    <w:tbl>
      <w:tblPr>
        <w:tblStyle w:val="9"/>
        <w:tblW w:w="893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5"/>
        <w:gridCol w:w="850"/>
        <w:gridCol w:w="850"/>
        <w:gridCol w:w="1134"/>
        <w:gridCol w:w="1004"/>
        <w:gridCol w:w="1276"/>
        <w:gridCol w:w="34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jc w:val="center"/>
        </w:trPr>
        <w:tc>
          <w:tcPr>
            <w:tcW w:w="4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20" w:lineRule="exact"/>
              <w:jc w:val="center"/>
              <w:rPr>
                <w:rFonts w:ascii="黑体" w:hAnsi="黑体" w:eastAsia="黑体" w:cs="黑体"/>
                <w:color w:val="000000"/>
                <w:szCs w:val="21"/>
              </w:rPr>
            </w:pPr>
            <w:r>
              <w:rPr>
                <w:rFonts w:hint="eastAsia" w:ascii="黑体" w:hAnsi="黑体" w:eastAsia="黑体" w:cs="黑体"/>
                <w:color w:val="000000"/>
                <w:szCs w:val="21"/>
              </w:rPr>
              <w:t>编号</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20" w:lineRule="exact"/>
              <w:jc w:val="center"/>
              <w:rPr>
                <w:rFonts w:ascii="黑体" w:hAnsi="黑体" w:eastAsia="黑体" w:cs="黑体"/>
                <w:color w:val="000000"/>
                <w:szCs w:val="21"/>
              </w:rPr>
            </w:pPr>
            <w:r>
              <w:rPr>
                <w:rFonts w:hint="eastAsia" w:ascii="黑体" w:hAnsi="黑体" w:eastAsia="黑体" w:cs="黑体"/>
                <w:color w:val="000000"/>
                <w:szCs w:val="21"/>
              </w:rPr>
              <w:t>辖区</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20" w:lineRule="exact"/>
              <w:jc w:val="center"/>
              <w:rPr>
                <w:rFonts w:ascii="黑体" w:hAnsi="黑体" w:eastAsia="黑体" w:cs="黑体"/>
                <w:color w:val="000000"/>
                <w:szCs w:val="21"/>
              </w:rPr>
            </w:pPr>
            <w:r>
              <w:rPr>
                <w:rFonts w:hint="eastAsia" w:ascii="黑体" w:hAnsi="黑体" w:eastAsia="黑体" w:cs="黑体"/>
                <w:color w:val="000000"/>
                <w:szCs w:val="21"/>
              </w:rPr>
              <w:t>街道</w:t>
            </w:r>
          </w:p>
        </w:tc>
        <w:tc>
          <w:tcPr>
            <w:tcW w:w="11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20" w:lineRule="exact"/>
              <w:jc w:val="center"/>
              <w:rPr>
                <w:rFonts w:ascii="黑体" w:hAnsi="黑体" w:eastAsia="黑体" w:cs="黑体"/>
                <w:color w:val="000000"/>
                <w:szCs w:val="21"/>
              </w:rPr>
            </w:pPr>
            <w:r>
              <w:rPr>
                <w:rFonts w:hint="eastAsia" w:ascii="黑体" w:hAnsi="黑体" w:eastAsia="黑体" w:cs="黑体"/>
                <w:color w:val="000000"/>
                <w:szCs w:val="21"/>
              </w:rPr>
              <w:t>单元名称</w:t>
            </w:r>
          </w:p>
        </w:tc>
        <w:tc>
          <w:tcPr>
            <w:tcW w:w="100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20" w:lineRule="exact"/>
              <w:jc w:val="center"/>
              <w:rPr>
                <w:rFonts w:ascii="黑体" w:hAnsi="黑体" w:eastAsia="黑体" w:cs="黑体"/>
                <w:color w:val="000000"/>
                <w:szCs w:val="21"/>
              </w:rPr>
            </w:pPr>
            <w:r>
              <w:rPr>
                <w:rFonts w:hint="eastAsia" w:ascii="黑体" w:hAnsi="黑体" w:eastAsia="黑体" w:cs="黑体"/>
                <w:color w:val="000000"/>
                <w:szCs w:val="21"/>
              </w:rPr>
              <w:t>申报</w:t>
            </w:r>
          </w:p>
          <w:p>
            <w:pPr>
              <w:spacing w:line="320" w:lineRule="exact"/>
              <w:jc w:val="center"/>
              <w:rPr>
                <w:rFonts w:ascii="黑体" w:hAnsi="黑体" w:eastAsia="黑体" w:cs="黑体"/>
                <w:color w:val="000000"/>
                <w:szCs w:val="21"/>
              </w:rPr>
            </w:pPr>
            <w:r>
              <w:rPr>
                <w:rFonts w:hint="eastAsia" w:ascii="黑体" w:hAnsi="黑体" w:eastAsia="黑体" w:cs="黑体"/>
                <w:color w:val="000000"/>
                <w:szCs w:val="21"/>
              </w:rPr>
              <w:t>主体</w:t>
            </w:r>
          </w:p>
        </w:tc>
        <w:tc>
          <w:tcPr>
            <w:tcW w:w="127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20" w:lineRule="exact"/>
              <w:jc w:val="center"/>
              <w:rPr>
                <w:rFonts w:ascii="黑体" w:hAnsi="黑体" w:eastAsia="黑体" w:cs="黑体"/>
                <w:color w:val="000000"/>
                <w:szCs w:val="21"/>
              </w:rPr>
            </w:pPr>
            <w:r>
              <w:rPr>
                <w:rFonts w:hint="eastAsia" w:ascii="黑体" w:hAnsi="黑体" w:eastAsia="黑体" w:cs="黑体"/>
                <w:color w:val="000000"/>
                <w:szCs w:val="21"/>
              </w:rPr>
              <w:t>拆除范围用地面积（平方米）</w:t>
            </w:r>
          </w:p>
        </w:tc>
        <w:tc>
          <w:tcPr>
            <w:tcW w:w="341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20" w:lineRule="exact"/>
              <w:jc w:val="center"/>
              <w:rPr>
                <w:rFonts w:ascii="黑体" w:hAnsi="黑体" w:eastAsia="黑体" w:cs="黑体"/>
                <w:color w:val="000000"/>
                <w:szCs w:val="21"/>
              </w:rPr>
            </w:pPr>
            <w:r>
              <w:rPr>
                <w:rFonts w:hint="eastAsia" w:ascii="黑体" w:hAnsi="黑体" w:eastAsia="黑体" w:cs="黑体"/>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4" w:hRule="atLeast"/>
          <w:jc w:val="center"/>
        </w:trPr>
        <w:tc>
          <w:tcPr>
            <w:tcW w:w="4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1</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lang w:val="en"/>
              </w:rPr>
            </w:pPr>
            <w:r>
              <w:rPr>
                <w:rFonts w:hint="eastAsia" w:ascii="仿宋_GB2312" w:hAnsi="仿宋_GB2312" w:eastAsia="仿宋_GB2312" w:cs="仿宋_GB2312"/>
                <w:szCs w:val="21"/>
                <w:lang w:val="en"/>
              </w:rPr>
              <w:t>坪山区</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马峦</w:t>
            </w:r>
          </w:p>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街道</w:t>
            </w:r>
          </w:p>
        </w:tc>
        <w:tc>
          <w:tcPr>
            <w:tcW w:w="11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江岭香江工业园城市更新单元</w:t>
            </w:r>
          </w:p>
        </w:tc>
        <w:tc>
          <w:tcPr>
            <w:tcW w:w="100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深圳市坪山江岭香江股份合作公司</w:t>
            </w:r>
          </w:p>
        </w:tc>
        <w:tc>
          <w:tcPr>
            <w:tcW w:w="127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59928</w:t>
            </w:r>
          </w:p>
        </w:tc>
        <w:tc>
          <w:tcPr>
            <w:tcW w:w="341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1"/>
              <w:adjustRightInd w:val="0"/>
              <w:snapToGrid w:val="0"/>
              <w:ind w:firstLine="0" w:firstLineChars="0"/>
              <w:jc w:val="left"/>
              <w:rPr>
                <w:rFonts w:ascii="仿宋_GB2312" w:hAnsi="仿宋_GB2312" w:eastAsia="仿宋_GB2312" w:cs="仿宋_GB2312"/>
                <w:szCs w:val="21"/>
              </w:rPr>
            </w:pPr>
            <w:r>
              <w:rPr>
                <w:rFonts w:hint="eastAsia" w:ascii="仿宋_GB2312" w:hAnsi="仿宋_GB2312" w:eastAsia="仿宋_GB2312" w:cs="仿宋_GB2312"/>
                <w:szCs w:val="21"/>
              </w:rPr>
              <w:t>①更新方向为居住、商业等功能；</w:t>
            </w:r>
          </w:p>
          <w:p>
            <w:pPr>
              <w:pStyle w:val="11"/>
              <w:adjustRightInd w:val="0"/>
              <w:snapToGrid w:val="0"/>
              <w:ind w:firstLine="0" w:firstLineChars="0"/>
              <w:jc w:val="left"/>
              <w:rPr>
                <w:rFonts w:ascii="仿宋_GB2312" w:hAnsi="仿宋_GB2312" w:eastAsia="仿宋_GB2312" w:cs="仿宋_GB2312"/>
                <w:szCs w:val="21"/>
              </w:rPr>
            </w:pPr>
            <w:r>
              <w:rPr>
                <w:rFonts w:hint="eastAsia" w:ascii="仿宋_GB2312" w:hAnsi="仿宋_GB2312" w:eastAsia="仿宋_GB2312" w:cs="仿宋_GB2312"/>
                <w:szCs w:val="21"/>
              </w:rPr>
              <w:t>②拟拆除重建用地范围内应落实用地面积不小于11986平方米的城市基础设施、公共服务设施等公共利益用地；</w:t>
            </w:r>
          </w:p>
          <w:p>
            <w:pPr>
              <w:pStyle w:val="11"/>
              <w:adjustRightInd w:val="0"/>
              <w:snapToGrid w:val="0"/>
              <w:ind w:firstLine="0" w:firstLineChars="0"/>
              <w:jc w:val="left"/>
              <w:rPr>
                <w:rFonts w:ascii="仿宋_GB2312" w:hAnsi="仿宋_GB2312" w:eastAsia="仿宋_GB2312" w:cs="仿宋_GB2312"/>
                <w:szCs w:val="21"/>
              </w:rPr>
            </w:pPr>
            <w:r>
              <w:rPr>
                <w:rFonts w:hint="eastAsia" w:ascii="仿宋_GB2312" w:hAnsi="仿宋_GB2312" w:eastAsia="仿宋_GB2312" w:cs="仿宋_GB2312"/>
                <w:szCs w:val="21"/>
              </w:rPr>
              <w:t>③在更新单元规划阶段按规定落实深圳市城市总体规划等相关法定规划的管控要求；</w:t>
            </w:r>
          </w:p>
          <w:p>
            <w:pPr>
              <w:pStyle w:val="11"/>
              <w:adjustRightInd w:val="0"/>
              <w:snapToGrid w:val="0"/>
              <w:ind w:firstLine="0" w:firstLineChars="0"/>
              <w:jc w:val="left"/>
              <w:rPr>
                <w:rFonts w:ascii="仿宋_GB2312" w:hAnsi="仿宋_GB2312" w:eastAsia="仿宋_GB2312" w:cs="仿宋_GB2312"/>
                <w:szCs w:val="21"/>
              </w:rPr>
            </w:pPr>
            <w:r>
              <w:rPr>
                <w:rFonts w:hint="eastAsia" w:ascii="仿宋_GB2312" w:hAnsi="仿宋_GB2312" w:eastAsia="仿宋_GB2312" w:cs="仿宋_GB2312"/>
                <w:szCs w:val="21"/>
              </w:rPr>
              <w:t>④更新单元计划有效期2年，自2023年12月</w:t>
            </w:r>
            <w:r>
              <w:rPr>
                <w:rFonts w:hint="eastAsia" w:ascii="仿宋_GB2312" w:hAnsi="仿宋_GB2312" w:eastAsia="仿宋_GB2312" w:cs="仿宋_GB2312"/>
                <w:szCs w:val="21"/>
                <w:lang w:val="en-US" w:eastAsia="zh-CN"/>
              </w:rPr>
              <w:t>30</w:t>
            </w:r>
            <w:r>
              <w:rPr>
                <w:rFonts w:hint="eastAsia" w:ascii="仿宋_GB2312" w:hAnsi="仿宋_GB2312" w:eastAsia="仿宋_GB2312" w:cs="仿宋_GB2312"/>
                <w:szCs w:val="21"/>
              </w:rPr>
              <w:t>日起至2025年12月2</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日止。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9" w:hRule="atLeast"/>
          <w:jc w:val="center"/>
        </w:trPr>
        <w:tc>
          <w:tcPr>
            <w:tcW w:w="8936" w:type="dxa"/>
            <w:gridSpan w:val="7"/>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20" w:lineRule="exact"/>
              <w:rPr>
                <w:rFonts w:ascii="黑体" w:hAnsi="黑体" w:eastAsia="黑体" w:cs="黑体"/>
                <w:b/>
                <w:bCs/>
                <w:color w:val="000000"/>
                <w:szCs w:val="21"/>
              </w:rPr>
            </w:pPr>
            <w:r>
              <w:rPr>
                <w:rFonts w:hint="eastAsia" w:ascii="黑体" w:hAnsi="黑体" w:eastAsia="黑体" w:cs="黑体"/>
                <w:b/>
                <w:bCs/>
                <w:color w:val="000000"/>
                <w:szCs w:val="21"/>
              </w:rPr>
              <w:t>特别提示：</w:t>
            </w:r>
          </w:p>
          <w:p>
            <w:pPr>
              <w:widowControl/>
              <w:spacing w:line="32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1.本表所列的城市更新单元须按照城市更新相关政策完成城市更新单元规划编制及项目实施主体确认等工作后方可实施开发建设。</w:t>
            </w:r>
          </w:p>
          <w:p>
            <w:pPr>
              <w:widowControl/>
              <w:spacing w:line="32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2.本表所列“申报主体”仅为城市更新单元计划的申报主体，项目实施主体须依据城市更新政策规定的条件及程序进行确认后产生。</w:t>
            </w:r>
          </w:p>
          <w:p>
            <w:pPr>
              <w:widowControl/>
              <w:spacing w:line="32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3.在本表所列的计划有效期内，更新单元规划未获市政府或其授权机构批准的，更新单元计划失效。</w:t>
            </w:r>
          </w:p>
          <w:p>
            <w:pPr>
              <w:widowControl/>
              <w:spacing w:line="320" w:lineRule="exact"/>
              <w:ind w:firstLine="420" w:firstLineChars="200"/>
              <w:jc w:val="left"/>
              <w:rPr>
                <w:rFonts w:ascii="仿宋_GB2312" w:eastAsia="仿宋_GB2312"/>
                <w:sz w:val="24"/>
              </w:rPr>
            </w:pPr>
            <w:r>
              <w:rPr>
                <w:rFonts w:hint="eastAsia" w:ascii="仿宋_GB2312" w:hAnsi="仿宋_GB2312" w:eastAsia="仿宋_GB2312" w:cs="仿宋_GB2312"/>
                <w:szCs w:val="21"/>
              </w:rPr>
              <w:t>4.本表所列城市更新单元的规划建设要求在城市更新单元规划审批过程中予以确定，除满足本表所列要求外，还应满足法定图则等上层次规划关于交通、市政、公共配套设施的建设要求和城市更新政策中公共利益项目等用地的移交要求。</w:t>
            </w:r>
          </w:p>
        </w:tc>
      </w:tr>
    </w:tbl>
    <w:p>
      <w:pPr>
        <w:adjustRightInd w:val="0"/>
        <w:snapToGrid w:val="0"/>
      </w:pPr>
    </w:p>
    <w:sectPr>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92"/>
    <w:rsid w:val="00071AE8"/>
    <w:rsid w:val="0010047A"/>
    <w:rsid w:val="001110F7"/>
    <w:rsid w:val="00166422"/>
    <w:rsid w:val="001E7563"/>
    <w:rsid w:val="00251C8D"/>
    <w:rsid w:val="002E2AF5"/>
    <w:rsid w:val="002E745A"/>
    <w:rsid w:val="00304961"/>
    <w:rsid w:val="00307C56"/>
    <w:rsid w:val="00323841"/>
    <w:rsid w:val="00475239"/>
    <w:rsid w:val="004E5A90"/>
    <w:rsid w:val="004E6292"/>
    <w:rsid w:val="00502CD1"/>
    <w:rsid w:val="0056722D"/>
    <w:rsid w:val="005D128F"/>
    <w:rsid w:val="006A4526"/>
    <w:rsid w:val="007139ED"/>
    <w:rsid w:val="00726058"/>
    <w:rsid w:val="007A2DC0"/>
    <w:rsid w:val="007D3DCD"/>
    <w:rsid w:val="00803742"/>
    <w:rsid w:val="00805D64"/>
    <w:rsid w:val="008F5202"/>
    <w:rsid w:val="00927B72"/>
    <w:rsid w:val="00965A46"/>
    <w:rsid w:val="009A55B5"/>
    <w:rsid w:val="009D46D0"/>
    <w:rsid w:val="009F1AC9"/>
    <w:rsid w:val="00AD7B40"/>
    <w:rsid w:val="00AE5E93"/>
    <w:rsid w:val="00B21357"/>
    <w:rsid w:val="00CE373D"/>
    <w:rsid w:val="00CF0437"/>
    <w:rsid w:val="00D317E9"/>
    <w:rsid w:val="00EB6D28"/>
    <w:rsid w:val="00F15C4B"/>
    <w:rsid w:val="00F23943"/>
    <w:rsid w:val="00F46997"/>
    <w:rsid w:val="00F53301"/>
    <w:rsid w:val="00F95D65"/>
    <w:rsid w:val="00FB7528"/>
    <w:rsid w:val="01A80568"/>
    <w:rsid w:val="04786746"/>
    <w:rsid w:val="07F049C2"/>
    <w:rsid w:val="09C71A77"/>
    <w:rsid w:val="09F61672"/>
    <w:rsid w:val="0CF274FB"/>
    <w:rsid w:val="0FFF4E47"/>
    <w:rsid w:val="119C1F93"/>
    <w:rsid w:val="11A21A13"/>
    <w:rsid w:val="151C52E5"/>
    <w:rsid w:val="16F27564"/>
    <w:rsid w:val="1C1E7A6A"/>
    <w:rsid w:val="220E6432"/>
    <w:rsid w:val="237D67D0"/>
    <w:rsid w:val="25F249C3"/>
    <w:rsid w:val="27096365"/>
    <w:rsid w:val="279A37AA"/>
    <w:rsid w:val="289962E9"/>
    <w:rsid w:val="2B3213C9"/>
    <w:rsid w:val="2BD66135"/>
    <w:rsid w:val="2CB10B37"/>
    <w:rsid w:val="2E120E9C"/>
    <w:rsid w:val="2E4B29A9"/>
    <w:rsid w:val="2ED9578C"/>
    <w:rsid w:val="2EDD201B"/>
    <w:rsid w:val="2FC73686"/>
    <w:rsid w:val="30B72627"/>
    <w:rsid w:val="317C7924"/>
    <w:rsid w:val="33D53C99"/>
    <w:rsid w:val="36FF516A"/>
    <w:rsid w:val="395A2D87"/>
    <w:rsid w:val="3AEE314A"/>
    <w:rsid w:val="3AFF8E9F"/>
    <w:rsid w:val="3B362B06"/>
    <w:rsid w:val="3B4D43CA"/>
    <w:rsid w:val="3B7D5A23"/>
    <w:rsid w:val="409E374D"/>
    <w:rsid w:val="44F77262"/>
    <w:rsid w:val="46BD40B1"/>
    <w:rsid w:val="47456127"/>
    <w:rsid w:val="4A0E150B"/>
    <w:rsid w:val="4E585197"/>
    <w:rsid w:val="4E886875"/>
    <w:rsid w:val="4F34001C"/>
    <w:rsid w:val="51463FAA"/>
    <w:rsid w:val="526C7A2C"/>
    <w:rsid w:val="54F1602E"/>
    <w:rsid w:val="550576AF"/>
    <w:rsid w:val="557DB5CA"/>
    <w:rsid w:val="568A2443"/>
    <w:rsid w:val="5710202A"/>
    <w:rsid w:val="593D43F3"/>
    <w:rsid w:val="59BB8F40"/>
    <w:rsid w:val="5CDFFA22"/>
    <w:rsid w:val="5D3F0614"/>
    <w:rsid w:val="5E37F037"/>
    <w:rsid w:val="5EFDABA1"/>
    <w:rsid w:val="5FAF7E38"/>
    <w:rsid w:val="5FED23D5"/>
    <w:rsid w:val="6057A4E2"/>
    <w:rsid w:val="608E2770"/>
    <w:rsid w:val="694723B8"/>
    <w:rsid w:val="6A9256A5"/>
    <w:rsid w:val="6C3A7D7A"/>
    <w:rsid w:val="6C42205F"/>
    <w:rsid w:val="6D56E692"/>
    <w:rsid w:val="6FF74F05"/>
    <w:rsid w:val="70D77839"/>
    <w:rsid w:val="715A33C3"/>
    <w:rsid w:val="71CE6FFA"/>
    <w:rsid w:val="72C01CB5"/>
    <w:rsid w:val="74697EA8"/>
    <w:rsid w:val="747EC5F6"/>
    <w:rsid w:val="75ABBB37"/>
    <w:rsid w:val="75EFEFA9"/>
    <w:rsid w:val="769A00AA"/>
    <w:rsid w:val="76D9EE69"/>
    <w:rsid w:val="77940825"/>
    <w:rsid w:val="77FEEC0B"/>
    <w:rsid w:val="7859519B"/>
    <w:rsid w:val="7B6F4B00"/>
    <w:rsid w:val="7BFF6F06"/>
    <w:rsid w:val="7D1D0E92"/>
    <w:rsid w:val="7DEF07D2"/>
    <w:rsid w:val="7EFF5734"/>
    <w:rsid w:val="7F9D1816"/>
    <w:rsid w:val="7FAE00B2"/>
    <w:rsid w:val="9DCF311D"/>
    <w:rsid w:val="9F8FD86C"/>
    <w:rsid w:val="B1DDCF4E"/>
    <w:rsid w:val="B33FB105"/>
    <w:rsid w:val="B7FFFEC9"/>
    <w:rsid w:val="BCFF3CB1"/>
    <w:rsid w:val="DABE53C7"/>
    <w:rsid w:val="DCFF041C"/>
    <w:rsid w:val="DD571665"/>
    <w:rsid w:val="F2BB1E92"/>
    <w:rsid w:val="F5BCC459"/>
    <w:rsid w:val="F77CEB81"/>
    <w:rsid w:val="FCDCC8A2"/>
    <w:rsid w:val="FD5F5BEF"/>
    <w:rsid w:val="FF9E5E95"/>
    <w:rsid w:val="FFBEE999"/>
    <w:rsid w:val="FFFFE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664"/>
    </w:pPr>
    <w:rPr>
      <w:szCs w:val="20"/>
    </w:rPr>
  </w:style>
  <w:style w:type="paragraph" w:styleId="3">
    <w:name w:val="Body Text"/>
    <w:basedOn w:val="1"/>
    <w:next w:val="4"/>
    <w:unhideWhenUsed/>
    <w:qFormat/>
    <w:uiPriority w:val="99"/>
    <w:pPr>
      <w:spacing w:after="120"/>
    </w:pPr>
  </w:style>
  <w:style w:type="paragraph" w:styleId="4">
    <w:name w:val="Title"/>
    <w:basedOn w:val="1"/>
    <w:qFormat/>
    <w:uiPriority w:val="1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Balloon Text"/>
    <w:basedOn w:val="1"/>
    <w:link w:val="12"/>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rPr>
  </w:style>
  <w:style w:type="paragraph" w:styleId="11">
    <w:name w:val="List Paragraph"/>
    <w:basedOn w:val="1"/>
    <w:qFormat/>
    <w:uiPriority w:val="34"/>
    <w:pPr>
      <w:ind w:firstLine="420" w:firstLineChars="200"/>
    </w:pPr>
    <w:rPr>
      <w:rFonts w:ascii="Times New Roman" w:hAnsi="Times New Roman" w:eastAsia="宋体" w:cs="Times New Roman"/>
    </w:rPr>
  </w:style>
  <w:style w:type="character" w:customStyle="1" w:styleId="12">
    <w:name w:val="批注框文本 字符"/>
    <w:basedOn w:val="10"/>
    <w:link w:val="5"/>
    <w:qFormat/>
    <w:uiPriority w:val="0"/>
    <w:rPr>
      <w:rFonts w:asciiTheme="minorHAnsi" w:hAnsiTheme="minorHAnsi" w:eastAsiaTheme="minorEastAsia" w:cstheme="minorBidi"/>
      <w:kern w:val="2"/>
      <w:sz w:val="18"/>
      <w:szCs w:val="18"/>
    </w:rPr>
  </w:style>
  <w:style w:type="character" w:customStyle="1" w:styleId="13">
    <w:name w:val="页眉 字符"/>
    <w:basedOn w:val="10"/>
    <w:link w:val="7"/>
    <w:qFormat/>
    <w:uiPriority w:val="0"/>
    <w:rPr>
      <w:rFonts w:asciiTheme="minorHAnsi" w:hAnsiTheme="minorHAnsi" w:eastAsiaTheme="minorEastAsia" w:cstheme="minorBidi"/>
      <w:kern w:val="2"/>
      <w:sz w:val="18"/>
      <w:szCs w:val="18"/>
    </w:rPr>
  </w:style>
  <w:style w:type="character" w:customStyle="1" w:styleId="14">
    <w:name w:val="页脚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80</Words>
  <Characters>457</Characters>
  <Lines>3</Lines>
  <Paragraphs>1</Paragraphs>
  <TotalTime>0</TotalTime>
  <ScaleCrop>false</ScaleCrop>
  <LinksUpToDate>false</LinksUpToDate>
  <CharactersWithSpaces>536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2023-12-25T23:42:00Z</dcterms:created>
  <dc:creator>Administrator.GTW-20190306FCV</dc:creator>
  <cp:lastModifiedBy>zhangyan</cp:lastModifiedBy>
  <cp:lastPrinted>2023-12-29T10:56:21Z</cp:lastPrinted>
  <dcterms:modified xsi:type="dcterms:W3CDTF">2023-12-29T15:00:03Z</dcterms:modified>
  <dc:title>坪山区相关城市更新单元计划有效期一览表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