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both"/>
        <w:rPr>
          <w:rFonts w:ascii="仿宋" w:hAnsi="仿宋" w:eastAsia="仿宋" w:cs="宋体"/>
          <w:b/>
          <w:kern w:val="0"/>
          <w:sz w:val="44"/>
          <w:szCs w:val="44"/>
        </w:rPr>
      </w:pPr>
    </w:p>
    <w:p>
      <w:pPr>
        <w:widowControl/>
        <w:spacing w:line="360" w:lineRule="auto"/>
        <w:jc w:val="center"/>
        <w:rPr>
          <w:rFonts w:ascii="仿宋" w:hAnsi="仿宋" w:eastAsia="仿宋" w:cs="宋体"/>
          <w:b/>
          <w:kern w:val="0"/>
          <w:sz w:val="44"/>
          <w:szCs w:val="44"/>
        </w:rPr>
      </w:pPr>
    </w:p>
    <w:p>
      <w:pPr>
        <w:widowControl/>
        <w:adjustRightInd w:val="0"/>
        <w:snapToGrid w:val="0"/>
        <w:spacing w:before="78" w:beforeLines="25" w:after="78" w:afterLines="25" w:line="440" w:lineRule="atLeast"/>
        <w:jc w:val="center"/>
        <w:rPr>
          <w:rFonts w:asciiTheme="majorEastAsia" w:hAnsiTheme="majorEastAsia" w:eastAsiaTheme="majorEastAsia" w:cstheme="majorEastAsia"/>
          <w:kern w:val="0"/>
          <w:sz w:val="52"/>
          <w:szCs w:val="52"/>
        </w:rPr>
      </w:pPr>
      <w:r>
        <w:rPr>
          <w:rFonts w:hint="eastAsia" w:asciiTheme="minorEastAsia" w:hAnsiTheme="minorEastAsia" w:cstheme="minorEastAsia"/>
          <w:b/>
          <w:color w:val="auto"/>
          <w:sz w:val="44"/>
          <w:szCs w:val="44"/>
          <w:lang w:val="en-US" w:eastAsia="zh-CN"/>
        </w:rPr>
        <w:t>碧岭街道城市更新和土地整备部协助征收拆迁工作服务项目</w:t>
      </w:r>
      <w:r>
        <w:rPr>
          <w:rFonts w:hint="eastAsia" w:ascii="宋体" w:hAnsi="宋体" w:cs="宋体"/>
          <w:b/>
          <w:kern w:val="0"/>
          <w:sz w:val="44"/>
          <w:szCs w:val="44"/>
        </w:rPr>
        <w:t>采购需求</w:t>
      </w:r>
    </w:p>
    <w:p>
      <w:pPr>
        <w:widowControl/>
        <w:adjustRightInd w:val="0"/>
        <w:snapToGrid w:val="0"/>
        <w:spacing w:line="360" w:lineRule="atLeast"/>
        <w:ind w:firstLine="960" w:firstLineChars="200"/>
        <w:jc w:val="center"/>
        <w:rPr>
          <w:rFonts w:asciiTheme="majorEastAsia" w:hAnsiTheme="majorEastAsia" w:eastAsiaTheme="majorEastAsia" w:cstheme="majorEastAsia"/>
          <w:kern w:val="0"/>
          <w:sz w:val="48"/>
          <w:szCs w:val="48"/>
        </w:rPr>
      </w:pPr>
    </w:p>
    <w:p>
      <w:pPr>
        <w:widowControl/>
        <w:spacing w:line="360" w:lineRule="auto"/>
        <w:ind w:firstLine="960" w:firstLineChars="200"/>
        <w:jc w:val="left"/>
        <w:rPr>
          <w:rFonts w:ascii="仿宋" w:hAnsi="仿宋" w:eastAsia="仿宋" w:cs="宋体"/>
          <w:kern w:val="0"/>
          <w:sz w:val="48"/>
          <w:szCs w:val="48"/>
        </w:rPr>
      </w:pPr>
    </w:p>
    <w:p>
      <w:pPr>
        <w:widowControl/>
        <w:spacing w:line="360" w:lineRule="auto"/>
        <w:rPr>
          <w:rFonts w:ascii="仿宋" w:hAnsi="仿宋" w:eastAsia="仿宋" w:cs="楷体"/>
          <w:spacing w:val="-20"/>
          <w:kern w:val="0"/>
          <w:sz w:val="28"/>
          <w:szCs w:val="28"/>
        </w:rPr>
      </w:pPr>
    </w:p>
    <w:p>
      <w:pPr>
        <w:widowControl/>
        <w:spacing w:line="360" w:lineRule="auto"/>
        <w:rPr>
          <w:rFonts w:ascii="仿宋" w:hAnsi="仿宋" w:eastAsia="仿宋" w:cs="楷体"/>
          <w:spacing w:val="-20"/>
          <w:kern w:val="0"/>
          <w:sz w:val="28"/>
          <w:szCs w:val="28"/>
        </w:rPr>
      </w:pPr>
    </w:p>
    <w:p>
      <w:pPr>
        <w:widowControl/>
        <w:spacing w:line="360" w:lineRule="auto"/>
        <w:rPr>
          <w:rFonts w:ascii="仿宋" w:hAnsi="仿宋" w:eastAsia="仿宋" w:cs="楷体"/>
          <w:spacing w:val="-20"/>
          <w:kern w:val="0"/>
          <w:sz w:val="28"/>
          <w:szCs w:val="28"/>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ascii="仿宋" w:hAnsi="仿宋" w:eastAsia="仿宋" w:cs="宋体"/>
          <w:spacing w:val="-20"/>
          <w:kern w:val="0"/>
          <w:sz w:val="32"/>
          <w:szCs w:val="32"/>
          <w:u w:val="single"/>
        </w:rPr>
      </w:pPr>
      <w:r>
        <w:rPr>
          <w:rFonts w:hint="eastAsia" w:ascii="仿宋" w:hAnsi="仿宋" w:eastAsia="仿宋" w:cs="宋体"/>
          <w:b/>
          <w:bCs/>
          <w:spacing w:val="-20"/>
          <w:kern w:val="0"/>
          <w:sz w:val="32"/>
          <w:szCs w:val="32"/>
        </w:rPr>
        <w:t>项目类型：</w:t>
      </w:r>
      <w:r>
        <w:rPr>
          <w:rFonts w:hint="eastAsia" w:ascii="仿宋" w:hAnsi="仿宋" w:eastAsia="仿宋" w:cs="宋体"/>
          <w:spacing w:val="-20"/>
          <w:kern w:val="0"/>
          <w:sz w:val="32"/>
          <w:szCs w:val="32"/>
          <w:u w:val="single"/>
        </w:rPr>
        <w:t xml:space="preserve">                    服务类                                 </w:t>
      </w:r>
    </w:p>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default" w:ascii="仿宋" w:hAnsi="仿宋" w:eastAsia="仿宋" w:cs="宋体"/>
          <w:b w:val="0"/>
          <w:bCs w:val="0"/>
          <w:i w:val="0"/>
          <w:iCs w:val="0"/>
          <w:spacing w:val="-20"/>
          <w:kern w:val="0"/>
          <w:sz w:val="32"/>
          <w:szCs w:val="32"/>
          <w:u w:val="single"/>
          <w:lang w:val="en-US" w:eastAsia="zh-CN"/>
        </w:rPr>
      </w:pPr>
      <w:r>
        <w:rPr>
          <w:rFonts w:hint="eastAsia" w:ascii="仿宋" w:hAnsi="仿宋" w:eastAsia="仿宋" w:cs="宋体"/>
          <w:b/>
          <w:bCs/>
          <w:spacing w:val="-20"/>
          <w:kern w:val="0"/>
          <w:sz w:val="32"/>
          <w:szCs w:val="32"/>
        </w:rPr>
        <w:t>项目名称：</w:t>
      </w:r>
      <w:r>
        <w:rPr>
          <w:rFonts w:hint="eastAsia" w:ascii="仿宋" w:hAnsi="仿宋" w:eastAsia="仿宋" w:cs="宋体"/>
          <w:b w:val="0"/>
          <w:bCs w:val="0"/>
          <w:i w:val="0"/>
          <w:iCs w:val="0"/>
          <w:spacing w:val="-20"/>
          <w:kern w:val="0"/>
          <w:sz w:val="32"/>
          <w:szCs w:val="32"/>
          <w:u w:val="single"/>
          <w:lang w:val="en-US" w:eastAsia="zh-CN"/>
        </w:rPr>
        <w:t>碧岭街道城市更新和土地整备部协助征收拆迁工作服务项目</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pacing w:val="-20"/>
          <w:kern w:val="0"/>
          <w:sz w:val="32"/>
          <w:szCs w:val="32"/>
          <w:u w:val="single"/>
          <w:lang w:val="en-US" w:eastAsia="zh-CN"/>
        </w:rPr>
      </w:pPr>
      <w:r>
        <w:rPr>
          <w:rFonts w:hint="eastAsia" w:ascii="仿宋" w:hAnsi="仿宋" w:eastAsia="仿宋" w:cs="宋体"/>
          <w:b/>
          <w:bCs/>
          <w:spacing w:val="-20"/>
          <w:kern w:val="0"/>
          <w:sz w:val="32"/>
          <w:szCs w:val="32"/>
        </w:rPr>
        <w:t>项目编号：</w:t>
      </w:r>
      <w:r>
        <w:rPr>
          <w:rFonts w:hint="eastAsia" w:ascii="仿宋" w:hAnsi="仿宋" w:eastAsia="仿宋" w:cs="宋体"/>
          <w:spacing w:val="-20"/>
          <w:kern w:val="0"/>
          <w:sz w:val="32"/>
          <w:szCs w:val="32"/>
          <w:u w:val="single"/>
        </w:rPr>
        <w:t xml:space="preserve"> </w:t>
      </w:r>
      <w:r>
        <w:rPr>
          <w:rFonts w:hint="eastAsia" w:ascii="仿宋" w:hAnsi="仿宋" w:eastAsia="仿宋" w:cs="仿宋"/>
          <w:spacing w:val="-20"/>
          <w:kern w:val="0"/>
          <w:sz w:val="32"/>
          <w:szCs w:val="32"/>
          <w:u w:val="single"/>
        </w:rPr>
        <w:t xml:space="preserve">          </w:t>
      </w:r>
      <w:r>
        <w:rPr>
          <w:rFonts w:hint="eastAsia" w:ascii="仿宋" w:hAnsi="仿宋" w:eastAsia="仿宋" w:cs="仿宋"/>
          <w:spacing w:val="-20"/>
          <w:kern w:val="0"/>
          <w:sz w:val="32"/>
          <w:szCs w:val="32"/>
          <w:u w:val="single"/>
          <w:lang w:val="en-US" w:eastAsia="zh-CN"/>
        </w:rPr>
        <w:t xml:space="preserve">        PSBLTZ2022007</w:t>
      </w:r>
      <w:r>
        <w:rPr>
          <w:rFonts w:hint="eastAsia" w:ascii="仿宋" w:hAnsi="仿宋" w:eastAsia="仿宋" w:cs="仿宋"/>
          <w:spacing w:val="-20"/>
          <w:kern w:val="0"/>
          <w:sz w:val="32"/>
          <w:szCs w:val="32"/>
          <w:u w:val="single"/>
        </w:rPr>
        <w:t xml:space="preserve">      </w:t>
      </w:r>
      <w:r>
        <w:rPr>
          <w:rFonts w:hint="eastAsia" w:ascii="仿宋" w:hAnsi="仿宋" w:eastAsia="仿宋" w:cs="仿宋"/>
          <w:spacing w:val="-20"/>
          <w:kern w:val="0"/>
          <w:sz w:val="32"/>
          <w:szCs w:val="32"/>
          <w:u w:val="single"/>
          <w:lang w:val="en-US" w:eastAsia="zh-CN"/>
        </w:rPr>
        <w:t xml:space="preserve">           </w:t>
      </w:r>
      <w:r>
        <w:rPr>
          <w:rFonts w:hint="eastAsia" w:ascii="仿宋" w:hAnsi="仿宋" w:eastAsia="仿宋" w:cs="仿宋"/>
          <w:spacing w:val="-20"/>
          <w:kern w:val="0"/>
          <w:sz w:val="32"/>
          <w:szCs w:val="32"/>
          <w:u w:val="single"/>
        </w:rPr>
        <w:t xml:space="preserve">          </w:t>
      </w:r>
    </w:p>
    <w:p>
      <w:pPr>
        <w:widowControl/>
        <w:spacing w:line="360" w:lineRule="auto"/>
        <w:ind w:firstLine="482" w:firstLineChars="200"/>
        <w:rPr>
          <w:rFonts w:ascii="仿宋" w:hAnsi="仿宋" w:eastAsia="仿宋" w:cs="宋体"/>
          <w:b/>
          <w:bCs/>
          <w:spacing w:val="-20"/>
          <w:kern w:val="0"/>
          <w:sz w:val="28"/>
          <w:szCs w:val="28"/>
        </w:rPr>
      </w:pPr>
    </w:p>
    <w:p>
      <w:pPr>
        <w:widowControl/>
        <w:spacing w:line="360" w:lineRule="auto"/>
        <w:jc w:val="left"/>
        <w:rPr>
          <w:rFonts w:ascii="仿宋" w:hAnsi="仿宋" w:eastAsia="仿宋" w:cs="宋体"/>
          <w:kern w:val="0"/>
          <w:sz w:val="28"/>
          <w:szCs w:val="28"/>
        </w:rPr>
      </w:pPr>
    </w:p>
    <w:p>
      <w:pPr>
        <w:widowControl/>
        <w:spacing w:line="360" w:lineRule="auto"/>
        <w:ind w:firstLine="560" w:firstLineChars="200"/>
        <w:jc w:val="left"/>
        <w:rPr>
          <w:rFonts w:ascii="仿宋" w:hAnsi="仿宋" w:eastAsia="仿宋" w:cs="宋体"/>
          <w:kern w:val="0"/>
          <w:sz w:val="28"/>
          <w:szCs w:val="28"/>
        </w:rPr>
      </w:pPr>
    </w:p>
    <w:p>
      <w:pPr>
        <w:widowControl/>
        <w:spacing w:line="360" w:lineRule="auto"/>
        <w:jc w:val="center"/>
        <w:rPr>
          <w:rFonts w:ascii="仿宋" w:hAnsi="仿宋" w:eastAsia="仿宋" w:cs="宋体"/>
          <w:spacing w:val="-20"/>
          <w:kern w:val="0"/>
          <w:sz w:val="32"/>
          <w:szCs w:val="32"/>
          <w:u w:val="single"/>
        </w:rPr>
      </w:pPr>
    </w:p>
    <w:p>
      <w:pPr>
        <w:widowControl/>
        <w:spacing w:line="360" w:lineRule="auto"/>
        <w:jc w:val="center"/>
        <w:rPr>
          <w:rFonts w:ascii="仿宋" w:hAnsi="仿宋" w:eastAsia="仿宋" w:cs="宋体"/>
          <w:spacing w:val="-20"/>
          <w:kern w:val="0"/>
          <w:sz w:val="32"/>
          <w:szCs w:val="32"/>
          <w:u w:val="single"/>
        </w:rPr>
        <w:sectPr>
          <w:pgSz w:w="11906" w:h="16838"/>
          <w:pgMar w:top="1440" w:right="1474" w:bottom="1440" w:left="1587" w:header="851" w:footer="992" w:gutter="0"/>
          <w:cols w:space="425" w:num="1"/>
          <w:docGrid w:type="lines" w:linePitch="312" w:charSpace="0"/>
        </w:sectPr>
      </w:pPr>
      <w:r>
        <w:rPr>
          <w:rFonts w:hint="eastAsia" w:ascii="仿宋" w:hAnsi="仿宋" w:eastAsia="仿宋" w:cs="宋体"/>
          <w:spacing w:val="-20"/>
          <w:kern w:val="0"/>
          <w:sz w:val="32"/>
          <w:szCs w:val="32"/>
        </w:rPr>
        <w:t>二〇二二年</w:t>
      </w:r>
      <w:r>
        <w:rPr>
          <w:rFonts w:hint="eastAsia" w:ascii="仿宋" w:hAnsi="仿宋" w:eastAsia="仿宋" w:cs="宋体"/>
          <w:spacing w:val="-20"/>
          <w:kern w:val="0"/>
          <w:sz w:val="32"/>
          <w:szCs w:val="32"/>
          <w:lang w:eastAsia="zh-CN"/>
        </w:rPr>
        <w:t>十</w:t>
      </w:r>
      <w:r>
        <w:rPr>
          <w:rFonts w:hint="eastAsia" w:ascii="仿宋" w:hAnsi="仿宋" w:eastAsia="仿宋" w:cs="宋体"/>
          <w:spacing w:val="-20"/>
          <w:kern w:val="0"/>
          <w:sz w:val="32"/>
          <w:szCs w:val="32"/>
          <w:lang w:val="en-US" w:eastAsia="zh-CN"/>
        </w:rPr>
        <w:t>二</w:t>
      </w:r>
      <w:r>
        <w:rPr>
          <w:rFonts w:hint="eastAsia" w:ascii="仿宋" w:hAnsi="仿宋" w:eastAsia="仿宋" w:cs="宋体"/>
          <w:spacing w:val="-20"/>
          <w:kern w:val="0"/>
          <w:sz w:val="32"/>
          <w:szCs w:val="32"/>
        </w:rPr>
        <w:t>月</w:t>
      </w:r>
      <w:r>
        <w:rPr>
          <w:rFonts w:hint="eastAsia" w:ascii="仿宋" w:hAnsi="仿宋" w:eastAsia="仿宋" w:cs="宋体"/>
          <w:spacing w:val="-20"/>
          <w:kern w:val="0"/>
          <w:sz w:val="32"/>
          <w:szCs w:val="32"/>
          <w:lang w:val="en-US" w:eastAsia="zh-CN"/>
        </w:rPr>
        <w:t>二十</w:t>
      </w:r>
      <w:r>
        <w:rPr>
          <w:rFonts w:hint="eastAsia" w:ascii="仿宋" w:hAnsi="仿宋" w:eastAsia="仿宋" w:cs="宋体"/>
          <w:spacing w:val="-20"/>
          <w:kern w:val="0"/>
          <w:sz w:val="32"/>
          <w:szCs w:val="32"/>
        </w:rPr>
        <w:t>日</w:t>
      </w:r>
    </w:p>
    <w:p>
      <w:pPr>
        <w:widowControl/>
        <w:adjustRightInd w:val="0"/>
        <w:snapToGrid w:val="0"/>
        <w:spacing w:before="78" w:beforeLines="25" w:after="78" w:afterLines="25" w:line="440" w:lineRule="atLeas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sz w:val="44"/>
          <w:szCs w:val="44"/>
          <w:lang w:val="en-US" w:eastAsia="zh-CN"/>
        </w:rPr>
        <w:t>碧岭街道城市更新和土地整备部协助征收拆迁工作服务项目</w:t>
      </w:r>
      <w:r>
        <w:rPr>
          <w:rFonts w:hint="eastAsia" w:ascii="方正小标宋简体" w:hAnsi="方正小标宋简体" w:eastAsia="方正小标宋简体" w:cs="方正小标宋简体"/>
          <w:b w:val="0"/>
          <w:bCs/>
          <w:kern w:val="0"/>
          <w:sz w:val="44"/>
          <w:szCs w:val="44"/>
        </w:rPr>
        <w:t>采购需求</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outlineLvl w:val="0"/>
        <w:rPr>
          <w:rFonts w:ascii="黑体" w:hAnsi="黑体" w:eastAsia="黑体" w:cs="黑体"/>
          <w:bCs/>
          <w:sz w:val="32"/>
          <w:szCs w:val="32"/>
        </w:rPr>
      </w:pPr>
      <w:r>
        <w:rPr>
          <w:rFonts w:hint="eastAsia" w:ascii="黑体" w:hAnsi="黑体" w:eastAsia="黑体" w:cs="黑体"/>
          <w:bCs/>
          <w:sz w:val="32"/>
          <w:szCs w:val="32"/>
        </w:rPr>
        <w:t>一、采购项目概况</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Times New Roman" w:hAnsi="Times New Roman" w:eastAsia="仿宋" w:cs="Times New Roman"/>
          <w:b w:val="0"/>
          <w:bCs w:val="0"/>
          <w:sz w:val="32"/>
          <w:szCs w:val="32"/>
        </w:rPr>
      </w:pPr>
      <w:r>
        <w:rPr>
          <w:rFonts w:hint="eastAsia" w:ascii="仿宋" w:hAnsi="仿宋" w:eastAsia="仿宋" w:cs="CESI仿宋-GB2312"/>
          <w:b w:val="0"/>
          <w:bCs w:val="0"/>
          <w:sz w:val="32"/>
          <w:szCs w:val="32"/>
        </w:rPr>
        <w:t>（一）项目简介：</w:t>
      </w:r>
      <w:r>
        <w:rPr>
          <w:rFonts w:hint="eastAsia" w:ascii="仿宋" w:hAnsi="仿宋" w:eastAsia="仿宋" w:cs="CESI仿宋-GB2312"/>
          <w:b w:val="0"/>
          <w:bCs w:val="0"/>
          <w:sz w:val="32"/>
          <w:szCs w:val="32"/>
          <w:lang w:eastAsia="zh-CN"/>
        </w:rPr>
        <w:t>坪山区碧岭街道公共事务中心城市更新和土地整备部</w:t>
      </w:r>
      <w:r>
        <w:rPr>
          <w:rFonts w:hint="eastAsia" w:ascii="仿宋" w:hAnsi="仿宋" w:eastAsia="仿宋" w:cs="CESI仿宋-GB2312"/>
          <w:b w:val="0"/>
          <w:bCs w:val="0"/>
          <w:sz w:val="32"/>
          <w:szCs w:val="32"/>
        </w:rPr>
        <w:t>开展</w:t>
      </w:r>
      <w:r>
        <w:rPr>
          <w:rFonts w:hint="eastAsia" w:ascii="仿宋" w:hAnsi="仿宋" w:eastAsia="仿宋" w:cs="CESI仿宋-GB2312"/>
          <w:b w:val="0"/>
          <w:bCs w:val="0"/>
          <w:sz w:val="32"/>
          <w:szCs w:val="32"/>
          <w:lang w:val="en-US" w:eastAsia="zh-CN"/>
        </w:rPr>
        <w:t>征收拆迁项目多，工作量大，需要与各有关单位进行工作上沟通和协调，</w:t>
      </w:r>
      <w:r>
        <w:rPr>
          <w:rFonts w:hint="eastAsia" w:ascii="仿宋" w:hAnsi="仿宋" w:eastAsia="仿宋" w:cs="CESI仿宋-GB2312"/>
          <w:b w:val="0"/>
          <w:bCs w:val="0"/>
          <w:sz w:val="32"/>
          <w:szCs w:val="32"/>
        </w:rPr>
        <w:t>现需要聘请第三方服务机构派遣</w:t>
      </w:r>
      <w:r>
        <w:rPr>
          <w:rFonts w:hint="eastAsia" w:ascii="仿宋" w:hAnsi="仿宋" w:eastAsia="仿宋" w:cs="CESI仿宋-GB2312"/>
          <w:b w:val="0"/>
          <w:bCs w:val="0"/>
          <w:sz w:val="32"/>
          <w:szCs w:val="32"/>
          <w:lang w:val="en-US" w:eastAsia="zh-CN"/>
        </w:rPr>
        <w:t>2</w:t>
      </w:r>
      <w:r>
        <w:rPr>
          <w:rFonts w:hint="eastAsia" w:ascii="仿宋" w:hAnsi="仿宋" w:eastAsia="仿宋" w:cs="CESI仿宋-GB2312"/>
          <w:b w:val="0"/>
          <w:bCs w:val="0"/>
          <w:sz w:val="32"/>
          <w:szCs w:val="32"/>
        </w:rPr>
        <w:t>名</w:t>
      </w:r>
      <w:r>
        <w:rPr>
          <w:rFonts w:hint="eastAsia" w:ascii="仿宋" w:hAnsi="仿宋" w:eastAsia="仿宋" w:cs="CESI仿宋-GB2312"/>
          <w:b w:val="0"/>
          <w:bCs w:val="0"/>
          <w:sz w:val="32"/>
          <w:szCs w:val="32"/>
          <w:lang w:eastAsia="zh-CN"/>
        </w:rPr>
        <w:t>工作人员</w:t>
      </w:r>
      <w:r>
        <w:rPr>
          <w:rFonts w:hint="eastAsia" w:ascii="仿宋" w:hAnsi="仿宋" w:eastAsia="仿宋" w:cs="CESI仿宋-GB2312"/>
          <w:b w:val="0"/>
          <w:bCs w:val="0"/>
          <w:sz w:val="32"/>
          <w:szCs w:val="32"/>
          <w:lang w:val="en-US" w:eastAsia="zh-CN"/>
        </w:rPr>
        <w:t>协助开展征收拆迁工作</w:t>
      </w:r>
      <w:r>
        <w:rPr>
          <w:rFonts w:hint="eastAsia" w:ascii="仿宋" w:hAnsi="仿宋" w:eastAsia="仿宋" w:cs="CESI仿宋-GB2312"/>
          <w:b w:val="0"/>
          <w:bCs w:val="0"/>
          <w:sz w:val="32"/>
          <w:szCs w:val="32"/>
        </w:rPr>
        <w:t>。</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b w:val="0"/>
          <w:bCs w:val="0"/>
          <w:sz w:val="32"/>
          <w:szCs w:val="32"/>
        </w:rPr>
      </w:pPr>
      <w:r>
        <w:rPr>
          <w:rFonts w:ascii="Times New Roman" w:hAnsi="Times New Roman" w:eastAsia="仿宋" w:cs="Times New Roman"/>
          <w:b w:val="0"/>
          <w:bCs w:val="0"/>
          <w:sz w:val="32"/>
          <w:szCs w:val="32"/>
        </w:rPr>
        <w:t>（二）采购项目名称：</w:t>
      </w:r>
      <w:r>
        <w:rPr>
          <w:rFonts w:hint="eastAsia" w:ascii="华文仿宋" w:hAnsi="华文仿宋" w:eastAsia="华文仿宋" w:cs="华文仿宋"/>
          <w:sz w:val="32"/>
          <w:szCs w:val="32"/>
          <w:lang w:val="en-US" w:eastAsia="zh-CN"/>
        </w:rPr>
        <w:t>碧岭街道城市更新和土地整备部协助征收拆迁工作服务项目</w:t>
      </w:r>
      <w:r>
        <w:rPr>
          <w:rFonts w:ascii="Times New Roman" w:hAnsi="Times New Roman" w:eastAsia="仿宋" w:cs="Times New Roman"/>
          <w:b w:val="0"/>
          <w:bCs w:val="0"/>
          <w:sz w:val="32"/>
          <w:szCs w:val="32"/>
        </w:rPr>
        <w:t>（项目编号：</w:t>
      </w:r>
      <w:r>
        <w:rPr>
          <w:rFonts w:hint="eastAsia" w:ascii="CESI仿宋-GB2312" w:hAnsi="CESI仿宋-GB2312" w:eastAsia="CESI仿宋-GB2312" w:cs="CESI仿宋-GB2312"/>
          <w:b w:val="0"/>
          <w:bCs w:val="0"/>
          <w:sz w:val="32"/>
          <w:szCs w:val="32"/>
        </w:rPr>
        <w:t>PSBLTZ2022007</w:t>
      </w:r>
      <w:r>
        <w:rPr>
          <w:rFonts w:hint="eastAsia" w:ascii="仿宋" w:hAnsi="仿宋" w:eastAsia="仿宋" w:cs="仿宋"/>
          <w:b w:val="0"/>
          <w:bCs w:val="0"/>
          <w:sz w:val="32"/>
          <w:szCs w:val="32"/>
        </w:rPr>
        <w:t>）。</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仿宋" w:hAnsi="仿宋" w:eastAsia="仿宋" w:cs="CESI仿宋-GB2312"/>
          <w:b w:val="0"/>
          <w:bCs w:val="0"/>
          <w:sz w:val="32"/>
          <w:szCs w:val="32"/>
        </w:rPr>
      </w:pPr>
      <w:r>
        <w:rPr>
          <w:rFonts w:hint="eastAsia" w:ascii="仿宋" w:hAnsi="仿宋" w:eastAsia="仿宋" w:cs="CESI仿宋-GB2312"/>
          <w:b w:val="0"/>
          <w:bCs w:val="0"/>
          <w:sz w:val="32"/>
          <w:szCs w:val="32"/>
        </w:rPr>
        <w:t>（三）采购方式：公开招标。</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仿宋" w:hAnsi="仿宋" w:eastAsia="仿宋" w:cs="CESI仿宋-GB2312"/>
          <w:b w:val="0"/>
          <w:bCs w:val="0"/>
          <w:sz w:val="32"/>
          <w:szCs w:val="32"/>
        </w:rPr>
      </w:pPr>
      <w:r>
        <w:rPr>
          <w:rFonts w:hint="eastAsia" w:ascii="仿宋" w:hAnsi="仿宋" w:eastAsia="仿宋" w:cs="CESI仿宋-GB2312"/>
          <w:b w:val="0"/>
          <w:bCs w:val="0"/>
          <w:sz w:val="32"/>
          <w:szCs w:val="32"/>
        </w:rPr>
        <w:t>（四）预算金额：</w:t>
      </w:r>
      <w:r>
        <w:rPr>
          <w:rFonts w:hint="eastAsia" w:ascii="仿宋" w:hAnsi="仿宋" w:eastAsia="仿宋" w:cs="仿宋"/>
          <w:b w:val="0"/>
          <w:bCs w:val="0"/>
          <w:sz w:val="32"/>
          <w:szCs w:val="32"/>
          <w:lang w:val="en-US" w:eastAsia="zh-CN"/>
        </w:rPr>
        <w:t>26</w:t>
      </w:r>
      <w:r>
        <w:rPr>
          <w:rFonts w:ascii="Times New Roman" w:hAnsi="Times New Roman" w:eastAsia="仿宋" w:cs="Times New Roman"/>
          <w:b w:val="0"/>
          <w:bCs w:val="0"/>
          <w:sz w:val="32"/>
          <w:szCs w:val="32"/>
        </w:rPr>
        <w:t>万元（大写人民币</w:t>
      </w:r>
      <w:r>
        <w:rPr>
          <w:rFonts w:hint="eastAsia" w:ascii="Times New Roman" w:hAnsi="Times New Roman" w:eastAsia="仿宋" w:cs="Times New Roman"/>
          <w:b w:val="0"/>
          <w:bCs w:val="0"/>
          <w:sz w:val="32"/>
          <w:szCs w:val="32"/>
          <w:lang w:eastAsia="zh-CN"/>
        </w:rPr>
        <w:t>贰拾陆</w:t>
      </w:r>
      <w:r>
        <w:rPr>
          <w:rFonts w:ascii="Times New Roman" w:hAnsi="Times New Roman" w:eastAsia="仿宋" w:cs="Times New Roman"/>
          <w:b w:val="0"/>
          <w:bCs w:val="0"/>
          <w:sz w:val="32"/>
          <w:szCs w:val="32"/>
        </w:rPr>
        <w:t>万元整）。报价应低于该预算金额，采购小组认</w:t>
      </w:r>
      <w:r>
        <w:rPr>
          <w:rFonts w:hint="eastAsia" w:ascii="仿宋" w:hAnsi="仿宋" w:eastAsia="仿宋" w:cs="CESI仿宋-GB2312"/>
          <w:b w:val="0"/>
          <w:bCs w:val="0"/>
          <w:sz w:val="32"/>
          <w:szCs w:val="32"/>
        </w:rPr>
        <w:t>为投标人的报价明显低于其他通过符合性审查投标人的报价，有可能影响服务质量或者不能诚信履约的，应当要求其在评标现场合理的时间内提供书面说明，必要时提交相关证明材料；投标人不能证明其报价合理性的，采购小组应当将其作为无效投标处理。</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仿宋" w:hAnsi="仿宋" w:eastAsia="仿宋" w:cs="CESI仿宋-GB2312"/>
          <w:b w:val="0"/>
          <w:bCs w:val="0"/>
          <w:sz w:val="32"/>
          <w:szCs w:val="32"/>
        </w:rPr>
      </w:pPr>
      <w:r>
        <w:rPr>
          <w:rFonts w:hint="eastAsia" w:ascii="仿宋" w:hAnsi="仿宋" w:eastAsia="仿宋" w:cs="CESI仿宋-GB2312"/>
          <w:b w:val="0"/>
          <w:bCs w:val="0"/>
          <w:sz w:val="32"/>
          <w:szCs w:val="32"/>
        </w:rPr>
        <w:t>（五）推荐候选人名单和满足开标条件的数量：该项目中标候选人的数量设置为1名，采购小组将按评标总得分由高到低的排名顺序，推荐第1名投标人为中标候选人。该项目满足开标条件的投标人数量设置为不少于3家，开标前的投标人数量或经过采购小组对投标文件进行资格性、符合性审查少于此要求的，将予以废标。</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仿宋" w:hAnsi="仿宋" w:eastAsia="仿宋" w:cs="CESI仿宋-GB2312"/>
          <w:sz w:val="32"/>
          <w:szCs w:val="32"/>
        </w:rPr>
      </w:pPr>
      <w:r>
        <w:rPr>
          <w:rFonts w:hint="eastAsia" w:ascii="仿宋" w:hAnsi="仿宋" w:eastAsia="仿宋" w:cs="CESI仿宋-GB2312"/>
          <w:b w:val="0"/>
          <w:bCs w:val="0"/>
          <w:sz w:val="32"/>
          <w:szCs w:val="32"/>
        </w:rPr>
        <w:t>（六）评标定标方法：根据《政府</w:t>
      </w:r>
      <w:r>
        <w:rPr>
          <w:rFonts w:hint="eastAsia" w:ascii="仿宋" w:hAnsi="仿宋" w:eastAsia="仿宋" w:cs="CESI仿宋-GB2312"/>
          <w:sz w:val="32"/>
          <w:szCs w:val="32"/>
        </w:rPr>
        <w:t>采购货物或服务招标投标管理办法》（财政部令第87号）《碧岭街道办事处政府采购管理办法（修订）》（坪碧发﹝2021﹞3号</w:t>
      </w:r>
      <w:r>
        <w:rPr>
          <w:rFonts w:hint="eastAsia" w:ascii="仿宋" w:hAnsi="仿宋" w:eastAsia="仿宋" w:cs="CESI仿宋-GB2312"/>
          <w:sz w:val="32"/>
          <w:szCs w:val="32"/>
          <w:lang w:eastAsia="zh-CN"/>
        </w:rPr>
        <w:t>）《碧岭街道办事处土地整备采购管理办法（修订）》</w:t>
      </w:r>
      <w:r>
        <w:rPr>
          <w:rFonts w:hint="eastAsia" w:ascii="仿宋" w:hAnsi="仿宋" w:eastAsia="仿宋" w:cs="CESI仿宋-GB2312"/>
          <w:sz w:val="32"/>
          <w:szCs w:val="32"/>
        </w:rPr>
        <w:t>（坪碧发﹝2021﹞</w:t>
      </w:r>
      <w:r>
        <w:rPr>
          <w:rFonts w:hint="eastAsia" w:ascii="仿宋" w:hAnsi="仿宋" w:eastAsia="仿宋" w:cs="CESI仿宋-GB2312"/>
          <w:sz w:val="32"/>
          <w:szCs w:val="32"/>
          <w:lang w:val="en-US" w:eastAsia="zh-CN"/>
        </w:rPr>
        <w:t>5</w:t>
      </w:r>
      <w:r>
        <w:rPr>
          <w:rFonts w:hint="eastAsia" w:ascii="仿宋" w:hAnsi="仿宋" w:eastAsia="仿宋" w:cs="CESI仿宋-GB2312"/>
          <w:sz w:val="32"/>
          <w:szCs w:val="32"/>
        </w:rPr>
        <w:t>号</w:t>
      </w:r>
      <w:r>
        <w:rPr>
          <w:rFonts w:hint="eastAsia" w:ascii="仿宋" w:hAnsi="仿宋" w:eastAsia="仿宋" w:cs="CESI仿宋-GB2312"/>
          <w:sz w:val="32"/>
          <w:szCs w:val="32"/>
          <w:lang w:eastAsia="zh-CN"/>
        </w:rPr>
        <w:t>）</w:t>
      </w:r>
      <w:r>
        <w:rPr>
          <w:rFonts w:hint="eastAsia" w:ascii="仿宋" w:hAnsi="仿宋" w:eastAsia="仿宋" w:cs="CESI仿宋-GB2312"/>
          <w:sz w:val="32"/>
          <w:szCs w:val="32"/>
        </w:rPr>
        <w:t>的有关规定，采购小组按照综合评分法原则，将投标人的得分进行由高到低排序，确定候选中标人。</w:t>
      </w:r>
    </w:p>
    <w:p>
      <w:pPr>
        <w:keepNext w:val="0"/>
        <w:keepLines w:val="0"/>
        <w:pageBreakBefore w:val="0"/>
        <w:tabs>
          <w:tab w:val="left" w:pos="696"/>
        </w:tabs>
        <w:kinsoku/>
        <w:wordWrap/>
        <w:overflowPunct/>
        <w:topLinePunct w:val="0"/>
        <w:autoSpaceDE/>
        <w:autoSpaceDN/>
        <w:bidi w:val="0"/>
        <w:adjustRightInd/>
        <w:snapToGrid/>
        <w:spacing w:line="560" w:lineRule="atLeast"/>
        <w:ind w:firstLine="640" w:firstLineChars="200"/>
        <w:textAlignment w:val="auto"/>
        <w:outlineLvl w:val="0"/>
        <w:rPr>
          <w:rFonts w:ascii="黑体" w:hAnsi="黑体" w:eastAsia="黑体" w:cs="黑体"/>
          <w:bCs/>
          <w:sz w:val="32"/>
          <w:szCs w:val="32"/>
        </w:rPr>
      </w:pPr>
      <w:r>
        <w:rPr>
          <w:rFonts w:hint="eastAsia" w:ascii="黑体" w:hAnsi="黑体" w:eastAsia="黑体" w:cs="黑体"/>
          <w:bCs/>
          <w:sz w:val="32"/>
          <w:szCs w:val="32"/>
        </w:rPr>
        <w:t>二、采购服务内容</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CESI仿宋-GB2312"/>
          <w:sz w:val="32"/>
          <w:szCs w:val="32"/>
          <w:lang w:val="en-US" w:eastAsia="zh-CN"/>
        </w:rPr>
      </w:pPr>
      <w:r>
        <w:rPr>
          <w:rFonts w:hint="eastAsia" w:ascii="仿宋" w:hAnsi="仿宋" w:eastAsia="仿宋" w:cs="CESI仿宋-GB2312"/>
          <w:sz w:val="32"/>
          <w:szCs w:val="32"/>
          <w:lang w:val="en-US" w:eastAsia="zh-CN"/>
        </w:rPr>
        <w:t>按照采购单位的要求，</w:t>
      </w:r>
      <w:r>
        <w:rPr>
          <w:rFonts w:hint="eastAsia" w:ascii="仿宋" w:hAnsi="仿宋" w:eastAsia="仿宋" w:cs="CESI仿宋-GB2312"/>
          <w:sz w:val="32"/>
          <w:szCs w:val="32"/>
        </w:rPr>
        <w:t>协助</w:t>
      </w:r>
      <w:r>
        <w:rPr>
          <w:rFonts w:hint="eastAsia" w:ascii="仿宋" w:hAnsi="仿宋" w:eastAsia="仿宋" w:cs="CESI仿宋-GB2312"/>
          <w:sz w:val="32"/>
          <w:szCs w:val="32"/>
          <w:lang w:eastAsia="zh-CN"/>
        </w:rPr>
        <w:t>坪山区碧岭街道公共事务中心城市更新和土地整备部</w:t>
      </w:r>
      <w:r>
        <w:rPr>
          <w:rFonts w:hint="eastAsia" w:ascii="仿宋" w:hAnsi="仿宋" w:eastAsia="仿宋" w:cs="CESI仿宋-GB2312"/>
          <w:sz w:val="32"/>
          <w:szCs w:val="32"/>
        </w:rPr>
        <w:t>开展</w:t>
      </w:r>
      <w:r>
        <w:rPr>
          <w:rFonts w:hint="eastAsia" w:ascii="仿宋" w:hAnsi="仿宋" w:eastAsia="仿宋" w:cs="CESI仿宋-GB2312"/>
          <w:sz w:val="32"/>
          <w:szCs w:val="32"/>
          <w:lang w:val="en-US" w:eastAsia="zh-CN"/>
        </w:rPr>
        <w:t>项目及业务管理</w:t>
      </w:r>
      <w:r>
        <w:rPr>
          <w:rFonts w:hint="eastAsia" w:ascii="仿宋" w:hAnsi="仿宋" w:eastAsia="仿宋" w:cs="CESI仿宋-GB2312"/>
          <w:sz w:val="32"/>
          <w:szCs w:val="32"/>
        </w:rPr>
        <w:t>等工作</w:t>
      </w:r>
      <w:r>
        <w:rPr>
          <w:rFonts w:hint="eastAsia" w:ascii="仿宋" w:hAnsi="仿宋" w:eastAsia="仿宋" w:cs="CESI仿宋-GB2312"/>
          <w:sz w:val="32"/>
          <w:szCs w:val="32"/>
          <w:lang w:eastAsia="zh-CN"/>
        </w:rPr>
        <w:t>，</w:t>
      </w:r>
      <w:r>
        <w:rPr>
          <w:rFonts w:hint="eastAsia" w:ascii="仿宋" w:hAnsi="仿宋" w:eastAsia="仿宋" w:cs="CESI仿宋-GB2312"/>
          <w:sz w:val="32"/>
          <w:szCs w:val="32"/>
          <w:lang w:val="en-US" w:eastAsia="zh-CN"/>
        </w:rPr>
        <w:t>具体包括：</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CESI仿宋-GB2312"/>
          <w:sz w:val="32"/>
          <w:szCs w:val="32"/>
          <w:lang w:val="en-US" w:eastAsia="zh-CN"/>
        </w:rPr>
      </w:pPr>
      <w:r>
        <w:rPr>
          <w:rFonts w:hint="eastAsia" w:ascii="仿宋" w:hAnsi="仿宋" w:eastAsia="仿宋" w:cs="CESI仿宋-GB2312"/>
          <w:sz w:val="32"/>
          <w:szCs w:val="32"/>
          <w:lang w:val="en-US" w:eastAsia="zh-CN"/>
        </w:rPr>
        <w:t>（一）协助开展征收拆迁一般事务性工作。</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CESI仿宋-GB2312"/>
          <w:sz w:val="32"/>
          <w:szCs w:val="32"/>
          <w:lang w:val="en-US" w:eastAsia="zh-CN"/>
        </w:rPr>
      </w:pPr>
      <w:r>
        <w:rPr>
          <w:rFonts w:hint="eastAsia" w:ascii="仿宋" w:hAnsi="仿宋" w:eastAsia="仿宋" w:cs="CESI仿宋-GB2312"/>
          <w:sz w:val="32"/>
          <w:szCs w:val="32"/>
          <w:lang w:val="en-US" w:eastAsia="zh-CN"/>
        </w:rPr>
        <w:t>（二）协助开展征收项目测绘、确权、评估工作。</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CESI仿宋-GB2312"/>
          <w:sz w:val="32"/>
          <w:szCs w:val="32"/>
          <w:lang w:val="en-US" w:eastAsia="zh-CN"/>
        </w:rPr>
      </w:pPr>
      <w:r>
        <w:rPr>
          <w:rFonts w:hint="eastAsia" w:ascii="仿宋" w:hAnsi="仿宋" w:eastAsia="仿宋" w:cs="CESI仿宋-GB2312"/>
          <w:sz w:val="32"/>
          <w:szCs w:val="32"/>
          <w:lang w:val="en-US" w:eastAsia="zh-CN"/>
        </w:rPr>
        <w:t>（三）协助业主的各项补偿和房屋拆迁、过渡、住房安置及产权申报的相关工作。</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CESI仿宋-GB2312"/>
          <w:sz w:val="32"/>
          <w:szCs w:val="32"/>
          <w:lang w:val="en-US" w:eastAsia="zh-CN"/>
        </w:rPr>
      </w:pPr>
      <w:r>
        <w:rPr>
          <w:rFonts w:hint="eastAsia" w:ascii="仿宋" w:hAnsi="仿宋" w:eastAsia="仿宋" w:cs="CESI仿宋-GB2312"/>
          <w:sz w:val="32"/>
          <w:szCs w:val="32"/>
          <w:lang w:val="en-US" w:eastAsia="zh-CN"/>
        </w:rPr>
        <w:t>（四）协助相关文件的装订、传递及签收，协助征拆工作文件装订和存档，完成相关报表的统计和上报。</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CESI仿宋-GB2312"/>
          <w:sz w:val="32"/>
          <w:szCs w:val="32"/>
          <w:lang w:val="en-US" w:eastAsia="zh-CN"/>
        </w:rPr>
      </w:pPr>
      <w:r>
        <w:rPr>
          <w:rFonts w:hint="eastAsia" w:ascii="仿宋" w:hAnsi="仿宋" w:eastAsia="仿宋" w:cs="CESI仿宋-GB2312"/>
          <w:sz w:val="32"/>
          <w:szCs w:val="32"/>
          <w:lang w:val="en-US" w:eastAsia="zh-CN"/>
        </w:rPr>
        <w:t>（五）协助处理采购单位上会议题申报、制作，会议的通知及其他综合事务。</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pPr>
      <w:r>
        <w:rPr>
          <w:rFonts w:hint="eastAsia" w:ascii="仿宋" w:hAnsi="仿宋" w:eastAsia="仿宋" w:cs="CESI仿宋-GB2312"/>
          <w:sz w:val="32"/>
          <w:szCs w:val="32"/>
          <w:lang w:val="en-US" w:eastAsia="zh-CN"/>
        </w:rPr>
        <w:t>（六）完成采购单位安排的其他工作。</w:t>
      </w:r>
    </w:p>
    <w:p>
      <w:pPr>
        <w:keepNext w:val="0"/>
        <w:keepLines w:val="0"/>
        <w:pageBreakBefore w:val="0"/>
        <w:tabs>
          <w:tab w:val="left" w:pos="696"/>
        </w:tabs>
        <w:kinsoku/>
        <w:wordWrap/>
        <w:overflowPunct/>
        <w:topLinePunct w:val="0"/>
        <w:autoSpaceDE/>
        <w:autoSpaceDN/>
        <w:bidi w:val="0"/>
        <w:adjustRightInd/>
        <w:snapToGrid/>
        <w:spacing w:line="560" w:lineRule="atLeast"/>
        <w:ind w:firstLine="640" w:firstLineChars="200"/>
        <w:textAlignment w:val="auto"/>
        <w:outlineLvl w:val="0"/>
        <w:rPr>
          <w:rFonts w:ascii="黑体" w:hAnsi="黑体" w:eastAsia="黑体" w:cs="黑体"/>
          <w:bCs/>
          <w:sz w:val="32"/>
          <w:szCs w:val="32"/>
        </w:rPr>
      </w:pPr>
      <w:r>
        <w:rPr>
          <w:rFonts w:hint="eastAsia" w:ascii="黑体" w:hAnsi="黑体" w:eastAsia="黑体" w:cs="黑体"/>
          <w:bCs/>
          <w:sz w:val="32"/>
          <w:szCs w:val="32"/>
        </w:rPr>
        <w:t>三、采购工作内容及要求</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default" w:ascii="仿宋" w:hAnsi="仿宋" w:eastAsia="仿宋" w:cs="CESI仿宋-GB2312"/>
          <w:b w:val="0"/>
          <w:bCs w:val="0"/>
          <w:sz w:val="32"/>
          <w:szCs w:val="32"/>
          <w:lang w:val="en-US" w:eastAsia="zh-CN"/>
        </w:rPr>
      </w:pPr>
      <w:r>
        <w:rPr>
          <w:rFonts w:hint="eastAsia" w:ascii="仿宋" w:hAnsi="仿宋" w:eastAsia="仿宋" w:cs="CESI仿宋-GB2312"/>
          <w:b w:val="0"/>
          <w:bCs w:val="0"/>
          <w:sz w:val="32"/>
          <w:szCs w:val="32"/>
          <w:lang w:val="en-US" w:eastAsia="zh-CN"/>
        </w:rPr>
        <w:t>（一）工作要求</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CESI仿宋-GB2312"/>
          <w:b w:val="0"/>
          <w:bCs w:val="0"/>
          <w:sz w:val="32"/>
          <w:szCs w:val="32"/>
          <w:lang w:val="en-US" w:eastAsia="zh-CN"/>
        </w:rPr>
      </w:pPr>
      <w:r>
        <w:rPr>
          <w:rFonts w:hint="eastAsia" w:ascii="仿宋" w:hAnsi="仿宋" w:eastAsia="仿宋" w:cs="CESI仿宋-GB2312"/>
          <w:b w:val="0"/>
          <w:bCs w:val="0"/>
          <w:sz w:val="32"/>
          <w:szCs w:val="32"/>
          <w:lang w:val="en-US" w:eastAsia="zh-CN"/>
        </w:rPr>
        <w:t>1.结合实际，提供优质的综合事务服务。</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CESI仿宋-GB2312"/>
          <w:b w:val="0"/>
          <w:bCs w:val="0"/>
          <w:sz w:val="32"/>
          <w:szCs w:val="32"/>
          <w:lang w:val="en-US" w:eastAsia="zh-CN"/>
        </w:rPr>
      </w:pPr>
      <w:r>
        <w:rPr>
          <w:rFonts w:hint="eastAsia" w:ascii="仿宋" w:hAnsi="仿宋" w:eastAsia="仿宋" w:cs="CESI仿宋-GB2312"/>
          <w:b w:val="0"/>
          <w:bCs w:val="0"/>
          <w:sz w:val="32"/>
          <w:szCs w:val="32"/>
          <w:lang w:val="en-US" w:eastAsia="zh-CN"/>
        </w:rPr>
        <w:t>2.提供的综合事务服务应当严格遵守法律、法规且符合国家、省、市、区的相关法律法规及政策性规定。</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CESI仿宋-GB2312"/>
          <w:b w:val="0"/>
          <w:bCs w:val="0"/>
          <w:sz w:val="32"/>
          <w:szCs w:val="32"/>
          <w:lang w:val="en-US" w:eastAsia="zh-CN"/>
        </w:rPr>
      </w:pPr>
      <w:r>
        <w:rPr>
          <w:rFonts w:hint="eastAsia" w:ascii="仿宋" w:hAnsi="仿宋" w:eastAsia="仿宋" w:cs="CESI仿宋-GB2312"/>
          <w:b w:val="0"/>
          <w:bCs w:val="0"/>
          <w:sz w:val="32"/>
          <w:szCs w:val="32"/>
          <w:lang w:val="en-US" w:eastAsia="zh-CN"/>
        </w:rPr>
        <w:t>3.应及时完成采购单位交办的工作内容，避免拖延。</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CESI仿宋-GB2312"/>
          <w:b w:val="0"/>
          <w:bCs w:val="0"/>
          <w:sz w:val="32"/>
          <w:szCs w:val="32"/>
          <w:lang w:val="en-US" w:eastAsia="zh-CN"/>
        </w:rPr>
      </w:pPr>
      <w:r>
        <w:rPr>
          <w:rFonts w:hint="eastAsia" w:ascii="仿宋" w:hAnsi="仿宋" w:eastAsia="仿宋" w:cs="CESI仿宋-GB2312"/>
          <w:b w:val="0"/>
          <w:bCs w:val="0"/>
          <w:sz w:val="32"/>
          <w:szCs w:val="32"/>
          <w:lang w:val="en-US" w:eastAsia="zh-CN"/>
        </w:rPr>
        <w:t>4.为采购单位提供征收拆迁服务的工作人员应遵守采购单位工作纪律，服从工作安排，且不得泄露工作中接触的采购单位及第三方的秘密。</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CESI仿宋-GB2312"/>
          <w:b w:val="0"/>
          <w:bCs w:val="0"/>
          <w:sz w:val="32"/>
          <w:szCs w:val="32"/>
          <w:lang w:val="en-US" w:eastAsia="zh-CN"/>
        </w:rPr>
      </w:pPr>
      <w:r>
        <w:rPr>
          <w:rFonts w:hint="eastAsia" w:ascii="仿宋" w:hAnsi="仿宋" w:eastAsia="仿宋" w:cs="CESI仿宋-GB2312"/>
          <w:b w:val="0"/>
          <w:bCs w:val="0"/>
          <w:sz w:val="32"/>
          <w:szCs w:val="32"/>
          <w:lang w:val="en-US" w:eastAsia="zh-CN"/>
        </w:rPr>
        <w:t>5.为保障工作推进，工作人员需在采购单位办公场所进行驻点办公。委托单位需提供工作人员必要的办公设备，工作人员的住宿由中标单位自行解决。</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仿宋" w:hAnsi="仿宋" w:eastAsia="仿宋" w:cs="CESI仿宋-GB2312"/>
          <w:b w:val="0"/>
          <w:bCs w:val="0"/>
          <w:sz w:val="32"/>
          <w:szCs w:val="32"/>
        </w:rPr>
      </w:pPr>
      <w:r>
        <w:rPr>
          <w:rFonts w:hint="eastAsia" w:ascii="仿宋" w:hAnsi="仿宋" w:eastAsia="仿宋" w:cs="CESI仿宋-GB2312"/>
          <w:b w:val="0"/>
          <w:bCs w:val="0"/>
          <w:sz w:val="32"/>
          <w:szCs w:val="32"/>
          <w:lang w:val="en-US" w:eastAsia="zh-CN"/>
        </w:rPr>
        <w:t>6.工作人员需无条件服从采购单位的工作管理安排，遵守采购单位制定的考勤制度；项目过程中因工作要求需要工作人员加班加点的，需无条件执行。</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rPr>
        <w:t>）项目其他要求</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CESI仿宋-GB2312"/>
          <w:b w:val="0"/>
          <w:bCs w:val="0"/>
          <w:sz w:val="32"/>
          <w:szCs w:val="32"/>
        </w:rPr>
      </w:pPr>
      <w:r>
        <w:rPr>
          <w:rFonts w:hint="eastAsia" w:ascii="仿宋" w:hAnsi="仿宋" w:eastAsia="仿宋" w:cs="CESI仿宋-GB2312"/>
          <w:b w:val="0"/>
          <w:bCs w:val="0"/>
          <w:sz w:val="32"/>
          <w:szCs w:val="32"/>
        </w:rPr>
        <w:t>1.中标单位擅自将服务合同转包第三方将被终止合同，经济损失和法律责任由中标单位承担；</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CESI仿宋-GB2312"/>
          <w:b w:val="0"/>
          <w:bCs w:val="0"/>
          <w:sz w:val="32"/>
          <w:szCs w:val="32"/>
        </w:rPr>
      </w:pPr>
      <w:r>
        <w:rPr>
          <w:rFonts w:hint="eastAsia" w:ascii="仿宋" w:hAnsi="仿宋" w:eastAsia="仿宋" w:cs="CESI仿宋-GB2312"/>
          <w:b w:val="0"/>
          <w:bCs w:val="0"/>
          <w:sz w:val="32"/>
          <w:szCs w:val="32"/>
        </w:rPr>
        <w:t>2.有弄虚作假及其他不当行为的，将终止合同，经济损失和法律责任由中标单位承担；</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CESI仿宋-GB2312"/>
          <w:b w:val="0"/>
          <w:bCs w:val="0"/>
          <w:sz w:val="32"/>
          <w:szCs w:val="32"/>
        </w:rPr>
      </w:pPr>
      <w:r>
        <w:rPr>
          <w:rFonts w:hint="eastAsia" w:ascii="仿宋" w:hAnsi="仿宋" w:eastAsia="仿宋" w:cs="CESI仿宋-GB2312"/>
          <w:b w:val="0"/>
          <w:bCs w:val="0"/>
          <w:sz w:val="32"/>
          <w:szCs w:val="32"/>
        </w:rPr>
        <w:t>3.违反劳动法或其他相关法律法规，造成恶劣影响的，将终止合同，经济损失和法律责任由中标单位承担。</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三</w:t>
      </w:r>
      <w:r>
        <w:rPr>
          <w:rFonts w:hint="eastAsia" w:ascii="仿宋" w:hAnsi="仿宋" w:eastAsia="仿宋" w:cs="仿宋"/>
          <w:b w:val="0"/>
          <w:bCs w:val="0"/>
          <w:sz w:val="32"/>
          <w:szCs w:val="32"/>
        </w:rPr>
        <w:t>）管理及责任承担</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仿宋" w:hAnsi="仿宋" w:eastAsia="仿宋" w:cs="CESI仿宋-GB2312"/>
          <w:b w:val="0"/>
          <w:bCs w:val="0"/>
          <w:sz w:val="32"/>
          <w:szCs w:val="32"/>
        </w:rPr>
      </w:pPr>
      <w:r>
        <w:rPr>
          <w:rFonts w:hint="eastAsia" w:ascii="仿宋" w:hAnsi="仿宋" w:eastAsia="仿宋" w:cs="CESI仿宋-GB2312"/>
          <w:b w:val="0"/>
          <w:bCs w:val="0"/>
          <w:sz w:val="32"/>
          <w:szCs w:val="32"/>
        </w:rPr>
        <w:t>供应商有下列行为之一的，将取消其供应商资格：</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仿宋" w:hAnsi="仿宋" w:eastAsia="仿宋" w:cs="CESI仿宋-GB2312"/>
          <w:b w:val="0"/>
          <w:bCs w:val="0"/>
          <w:sz w:val="32"/>
          <w:szCs w:val="32"/>
        </w:rPr>
      </w:pPr>
      <w:r>
        <w:rPr>
          <w:rFonts w:hint="eastAsia" w:ascii="仿宋" w:hAnsi="仿宋" w:eastAsia="仿宋" w:cs="CESI仿宋-GB2312"/>
          <w:b w:val="0"/>
          <w:bCs w:val="0"/>
          <w:sz w:val="32"/>
          <w:szCs w:val="32"/>
        </w:rPr>
        <w:t>1.弄虚作假、隐瞒真实情况骗取入围供应商资格的。</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仿宋" w:hAnsi="仿宋" w:eastAsia="仿宋" w:cs="CESI仿宋-GB2312"/>
          <w:b w:val="0"/>
          <w:bCs w:val="0"/>
          <w:sz w:val="32"/>
          <w:szCs w:val="32"/>
        </w:rPr>
      </w:pPr>
      <w:r>
        <w:rPr>
          <w:rFonts w:hint="eastAsia" w:ascii="仿宋" w:hAnsi="仿宋" w:eastAsia="仿宋" w:cs="CESI仿宋-GB2312"/>
          <w:b w:val="0"/>
          <w:bCs w:val="0"/>
          <w:sz w:val="32"/>
          <w:szCs w:val="32"/>
        </w:rPr>
        <w:t>2.因行贿、受贿、串通投标、转包、挂靠受到处罚的。</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仿宋" w:hAnsi="仿宋" w:eastAsia="仿宋" w:cs="CESI仿宋-GB2312"/>
          <w:b w:val="0"/>
          <w:bCs w:val="0"/>
          <w:sz w:val="32"/>
          <w:szCs w:val="32"/>
        </w:rPr>
      </w:pPr>
      <w:r>
        <w:rPr>
          <w:rFonts w:hint="eastAsia" w:ascii="仿宋" w:hAnsi="仿宋" w:eastAsia="仿宋" w:cs="CESI仿宋-GB2312"/>
          <w:b w:val="0"/>
          <w:bCs w:val="0"/>
          <w:sz w:val="32"/>
          <w:szCs w:val="32"/>
        </w:rPr>
        <w:t>3.中标后无正当理由不与采购单位签订合同的。</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仿宋" w:hAnsi="仿宋" w:eastAsia="仿宋" w:cs="CESI仿宋-GB2312"/>
          <w:b w:val="0"/>
          <w:bCs w:val="0"/>
          <w:sz w:val="32"/>
          <w:szCs w:val="32"/>
        </w:rPr>
      </w:pPr>
      <w:r>
        <w:rPr>
          <w:rFonts w:hint="eastAsia" w:ascii="仿宋" w:hAnsi="仿宋" w:eastAsia="仿宋" w:cs="CESI仿宋-GB2312"/>
          <w:b w:val="0"/>
          <w:bCs w:val="0"/>
          <w:sz w:val="32"/>
          <w:szCs w:val="32"/>
        </w:rPr>
        <w:t>4.擅自变更或者中止服务合同的。</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仿宋" w:hAnsi="仿宋" w:eastAsia="仿宋" w:cs="CESI仿宋-GB2312"/>
          <w:b w:val="0"/>
          <w:bCs w:val="0"/>
          <w:sz w:val="32"/>
          <w:szCs w:val="32"/>
        </w:rPr>
      </w:pPr>
      <w:r>
        <w:rPr>
          <w:rFonts w:hint="eastAsia" w:ascii="仿宋" w:hAnsi="仿宋" w:eastAsia="仿宋" w:cs="CESI仿宋-GB2312"/>
          <w:b w:val="0"/>
          <w:bCs w:val="0"/>
          <w:sz w:val="32"/>
          <w:szCs w:val="32"/>
        </w:rPr>
        <w:t>5.拖欠工人工资，经劳动或其他政府部门催告或通报仍不清偿的。</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仿宋" w:hAnsi="仿宋" w:eastAsia="仿宋" w:cs="CESI仿宋-GB2312"/>
          <w:b w:val="0"/>
          <w:bCs w:val="0"/>
          <w:sz w:val="32"/>
          <w:szCs w:val="32"/>
        </w:rPr>
      </w:pPr>
      <w:r>
        <w:rPr>
          <w:rFonts w:hint="eastAsia" w:ascii="仿宋" w:hAnsi="仿宋" w:eastAsia="仿宋" w:cs="CESI仿宋-GB2312"/>
          <w:b w:val="0"/>
          <w:bCs w:val="0"/>
          <w:sz w:val="32"/>
          <w:szCs w:val="32"/>
        </w:rPr>
        <w:t>6.拒绝有关部门检查或者不如实反映情况、提供材料的。</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仿宋" w:hAnsi="仿宋" w:eastAsia="仿宋" w:cs="CESI仿宋-GB2312"/>
          <w:b w:val="0"/>
          <w:bCs w:val="0"/>
          <w:sz w:val="32"/>
          <w:szCs w:val="32"/>
        </w:rPr>
      </w:pPr>
      <w:r>
        <w:rPr>
          <w:rFonts w:hint="eastAsia" w:ascii="仿宋" w:hAnsi="仿宋" w:eastAsia="仿宋" w:cs="CESI仿宋-GB2312"/>
          <w:b w:val="0"/>
          <w:bCs w:val="0"/>
          <w:sz w:val="32"/>
          <w:szCs w:val="32"/>
        </w:rPr>
        <w:t>7.不按采购需求、投标文件以及服务合同要求全面真实履约，履约情况评价不合格的。</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仿宋" w:hAnsi="仿宋" w:eastAsia="仿宋" w:cs="CESI仿宋-GB2312"/>
          <w:b w:val="0"/>
          <w:bCs w:val="0"/>
          <w:sz w:val="32"/>
          <w:szCs w:val="32"/>
        </w:rPr>
      </w:pPr>
      <w:r>
        <w:rPr>
          <w:rFonts w:hint="eastAsia" w:ascii="仿宋" w:hAnsi="仿宋" w:eastAsia="仿宋" w:cs="CESI仿宋-GB2312"/>
          <w:b w:val="0"/>
          <w:bCs w:val="0"/>
          <w:sz w:val="32"/>
          <w:szCs w:val="32"/>
        </w:rPr>
        <w:t>8.因其公司资质降低达不到供应商资质条件的。</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仿宋" w:hAnsi="仿宋" w:eastAsia="仿宋" w:cs="CESI仿宋-GB2312"/>
          <w:b w:val="0"/>
          <w:bCs w:val="0"/>
          <w:sz w:val="32"/>
          <w:szCs w:val="32"/>
        </w:rPr>
      </w:pPr>
      <w:r>
        <w:rPr>
          <w:rFonts w:hint="eastAsia" w:ascii="仿宋" w:hAnsi="仿宋" w:eastAsia="仿宋" w:cs="CESI仿宋-GB2312"/>
          <w:b w:val="0"/>
          <w:bCs w:val="0"/>
          <w:sz w:val="32"/>
          <w:szCs w:val="32"/>
        </w:rPr>
        <w:t>9.其它造成严重后果或恶劣影响的行为。</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四</w:t>
      </w:r>
      <w:r>
        <w:rPr>
          <w:rFonts w:hint="eastAsia" w:ascii="仿宋" w:hAnsi="仿宋" w:eastAsia="仿宋" w:cs="仿宋"/>
          <w:b w:val="0"/>
          <w:bCs w:val="0"/>
          <w:sz w:val="32"/>
          <w:szCs w:val="32"/>
        </w:rPr>
        <w:t>）报价要求</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jc w:val="both"/>
        <w:textAlignment w:val="auto"/>
        <w:rPr>
          <w:rFonts w:ascii="仿宋" w:hAnsi="仿宋" w:eastAsia="仿宋" w:cs="CESI仿宋-GB2312"/>
          <w:b w:val="0"/>
          <w:bCs w:val="0"/>
          <w:sz w:val="32"/>
          <w:szCs w:val="32"/>
        </w:rPr>
      </w:pPr>
      <w:r>
        <w:rPr>
          <w:rFonts w:hint="eastAsia" w:ascii="仿宋" w:hAnsi="仿宋" w:eastAsia="仿宋" w:cs="CESI仿宋-GB2312"/>
          <w:b w:val="0"/>
          <w:bCs w:val="0"/>
          <w:sz w:val="32"/>
          <w:szCs w:val="32"/>
        </w:rPr>
        <w:t>本项目预算总价为</w:t>
      </w:r>
      <w:r>
        <w:rPr>
          <w:rFonts w:hint="eastAsia" w:ascii="仿宋" w:hAnsi="仿宋" w:eastAsia="仿宋" w:cs="CESI仿宋-GB2312"/>
          <w:b w:val="0"/>
          <w:bCs w:val="0"/>
          <w:sz w:val="32"/>
          <w:szCs w:val="32"/>
          <w:lang w:val="en-US" w:eastAsia="zh-CN"/>
        </w:rPr>
        <w:t>26</w:t>
      </w:r>
      <w:r>
        <w:rPr>
          <w:rFonts w:hint="eastAsia" w:ascii="仿宋" w:hAnsi="仿宋" w:eastAsia="仿宋" w:cs="CESI仿宋-GB2312"/>
          <w:b w:val="0"/>
          <w:bCs w:val="0"/>
          <w:sz w:val="32"/>
          <w:szCs w:val="32"/>
        </w:rPr>
        <w:t>万元，投标报价以人民币报价，本项目服务费采用包干制，应包括服务成本、法定税费和企业的利润等服务过程中产生的一切费用。</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五</w:t>
      </w:r>
      <w:r>
        <w:rPr>
          <w:rFonts w:hint="eastAsia" w:ascii="仿宋" w:hAnsi="仿宋" w:eastAsia="仿宋" w:cs="仿宋"/>
          <w:b w:val="0"/>
          <w:bCs w:val="0"/>
          <w:sz w:val="32"/>
          <w:szCs w:val="32"/>
        </w:rPr>
        <w:t>）投标人资格要求</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CESI仿宋-GB2312"/>
          <w:b w:val="0"/>
          <w:bCs w:val="0"/>
          <w:sz w:val="32"/>
          <w:szCs w:val="32"/>
          <w:lang w:eastAsia="zh-CN"/>
        </w:rPr>
      </w:pPr>
      <w:r>
        <w:rPr>
          <w:rFonts w:hint="eastAsia" w:ascii="仿宋" w:hAnsi="仿宋" w:eastAsia="仿宋" w:cs="CESI仿宋-GB2312"/>
          <w:b w:val="0"/>
          <w:bCs w:val="0"/>
          <w:sz w:val="32"/>
          <w:szCs w:val="32"/>
        </w:rPr>
        <w:t>1.供应商符合《中华人民共和国政府采购法》第二十二条规定的条件</w:t>
      </w:r>
      <w:r>
        <w:rPr>
          <w:rFonts w:hint="eastAsia" w:ascii="仿宋" w:hAnsi="仿宋" w:eastAsia="仿宋" w:cs="CESI仿宋-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CESI仿宋-GB2312"/>
          <w:b w:val="0"/>
          <w:bCs w:val="0"/>
          <w:sz w:val="32"/>
          <w:szCs w:val="32"/>
        </w:rPr>
      </w:pPr>
      <w:r>
        <w:rPr>
          <w:rFonts w:hint="eastAsia" w:ascii="仿宋" w:hAnsi="仿宋" w:eastAsia="仿宋" w:cs="CESI仿宋-GB2312"/>
          <w:b w:val="0"/>
          <w:bCs w:val="0"/>
          <w:sz w:val="32"/>
          <w:szCs w:val="32"/>
        </w:rPr>
        <w:t>2.具有独立法人资格，具有效合法的营业执照。</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CESI仿宋-GB2312"/>
          <w:b w:val="0"/>
          <w:bCs w:val="0"/>
          <w:sz w:val="32"/>
          <w:szCs w:val="32"/>
        </w:rPr>
      </w:pPr>
      <w:r>
        <w:rPr>
          <w:rFonts w:hint="eastAsia" w:ascii="仿宋" w:hAnsi="仿宋" w:eastAsia="仿宋" w:cs="CESI仿宋-GB2312"/>
          <w:b w:val="0"/>
          <w:bCs w:val="0"/>
          <w:sz w:val="32"/>
          <w:szCs w:val="32"/>
        </w:rPr>
        <w:t>3.近三年内无行贿犯罪记录</w:t>
      </w:r>
      <w:r>
        <w:rPr>
          <w:rFonts w:hint="eastAsia" w:ascii="仿宋" w:hAnsi="仿宋" w:eastAsia="仿宋" w:cs="CESI仿宋-GB2312"/>
          <w:b w:val="0"/>
          <w:bCs w:val="0"/>
          <w:sz w:val="32"/>
          <w:szCs w:val="32"/>
          <w:lang w:val="en-US" w:eastAsia="zh-CN"/>
        </w:rPr>
        <w:t>（提供书面承诺函，格式自拟）</w:t>
      </w:r>
      <w:r>
        <w:rPr>
          <w:rFonts w:hint="eastAsia" w:ascii="仿宋" w:hAnsi="仿宋" w:eastAsia="仿宋" w:cs="CESI仿宋-GB2312"/>
          <w:b w:val="0"/>
          <w:bCs w:val="0"/>
          <w:sz w:val="32"/>
          <w:szCs w:val="32"/>
        </w:rPr>
        <w:t>。</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CESI仿宋-GB2312"/>
          <w:b w:val="0"/>
          <w:bCs w:val="0"/>
          <w:sz w:val="32"/>
          <w:szCs w:val="32"/>
        </w:rPr>
      </w:pPr>
      <w:r>
        <w:rPr>
          <w:rFonts w:hint="eastAsia" w:ascii="仿宋" w:hAnsi="仿宋" w:eastAsia="仿宋" w:cs="CESI仿宋-GB2312"/>
          <w:b w:val="0"/>
          <w:bCs w:val="0"/>
          <w:sz w:val="32"/>
          <w:szCs w:val="32"/>
        </w:rPr>
        <w:t>4.具有政府部门劳务外包或人力资源服务外包项目经验。</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CESI仿宋-GB2312"/>
          <w:b w:val="0"/>
          <w:bCs w:val="0"/>
          <w:sz w:val="32"/>
          <w:szCs w:val="32"/>
        </w:rPr>
      </w:pPr>
      <w:r>
        <w:rPr>
          <w:rFonts w:hint="eastAsia" w:ascii="仿宋" w:hAnsi="仿宋" w:eastAsia="仿宋" w:cs="CESI仿宋-GB2312"/>
          <w:b w:val="0"/>
          <w:bCs w:val="0"/>
          <w:sz w:val="32"/>
          <w:szCs w:val="32"/>
          <w:lang w:val="en-US" w:eastAsia="zh-CN"/>
        </w:rPr>
        <w:t>5.本项目不接受联合体投标。</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六</w:t>
      </w:r>
      <w:r>
        <w:rPr>
          <w:rFonts w:hint="eastAsia" w:ascii="仿宋" w:hAnsi="仿宋" w:eastAsia="仿宋" w:cs="仿宋"/>
          <w:b w:val="0"/>
          <w:bCs w:val="0"/>
          <w:sz w:val="32"/>
          <w:szCs w:val="32"/>
        </w:rPr>
        <w:t>）服务期限</w:t>
      </w:r>
    </w:p>
    <w:p>
      <w:pPr>
        <w:pStyle w:val="6"/>
        <w:keepNext w:val="0"/>
        <w:keepLines w:val="0"/>
        <w:pageBreakBefore w:val="0"/>
        <w:kinsoku/>
        <w:wordWrap/>
        <w:overflowPunct/>
        <w:topLinePunct w:val="0"/>
        <w:autoSpaceDE/>
        <w:autoSpaceDN/>
        <w:bidi w:val="0"/>
        <w:adjustRightInd/>
        <w:snapToGrid/>
        <w:spacing w:line="560" w:lineRule="atLeast"/>
        <w:ind w:firstLine="640"/>
        <w:textAlignment w:val="auto"/>
        <w:rPr>
          <w:rFonts w:hint="eastAsia" w:ascii="仿宋" w:hAnsi="仿宋" w:eastAsia="仿宋" w:cs="CESI仿宋-GB2312"/>
          <w:b w:val="0"/>
          <w:bCs w:val="0"/>
          <w:sz w:val="32"/>
          <w:szCs w:val="32"/>
          <w:lang w:val="en-US" w:eastAsia="zh-CN"/>
        </w:rPr>
      </w:pPr>
      <w:r>
        <w:rPr>
          <w:rFonts w:hint="eastAsia" w:ascii="仿宋" w:hAnsi="仿宋" w:eastAsia="仿宋" w:cs="CESI仿宋-GB2312"/>
          <w:b w:val="0"/>
          <w:bCs w:val="0"/>
          <w:sz w:val="32"/>
          <w:szCs w:val="32"/>
          <w:lang w:val="en-US" w:eastAsia="zh-CN"/>
        </w:rPr>
        <w:t>自合同签订之日起一年，具体约定以合同为准。</w:t>
      </w:r>
    </w:p>
    <w:p>
      <w:pPr>
        <w:pStyle w:val="6"/>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七</w:t>
      </w:r>
      <w:r>
        <w:rPr>
          <w:rFonts w:hint="eastAsia" w:ascii="仿宋" w:hAnsi="仿宋" w:eastAsia="仿宋" w:cs="仿宋"/>
          <w:b w:val="0"/>
          <w:bCs w:val="0"/>
          <w:sz w:val="32"/>
          <w:szCs w:val="32"/>
          <w:lang w:eastAsia="zh-CN"/>
        </w:rPr>
        <w:t>）人员要求</w:t>
      </w:r>
    </w:p>
    <w:p>
      <w:pPr>
        <w:pStyle w:val="6"/>
        <w:keepNext w:val="0"/>
        <w:keepLines w:val="0"/>
        <w:pageBreakBefore w:val="0"/>
        <w:numPr>
          <w:ilvl w:val="0"/>
          <w:numId w:val="0"/>
        </w:numPr>
        <w:kinsoku/>
        <w:wordWrap/>
        <w:overflowPunct/>
        <w:topLinePunct w:val="0"/>
        <w:autoSpaceDE/>
        <w:autoSpaceDN/>
        <w:bidi w:val="0"/>
        <w:adjustRightInd/>
        <w:snapToGrid/>
        <w:spacing w:line="560" w:lineRule="atLeast"/>
        <w:ind w:firstLine="600" w:firstLineChars="200"/>
        <w:textAlignment w:val="auto"/>
        <w:rPr>
          <w:rFonts w:hint="default" w:ascii="仿宋" w:hAnsi="仿宋" w:eastAsia="仿宋" w:cs="仿宋"/>
          <w:b w:val="0"/>
          <w:bCs w:val="0"/>
          <w:sz w:val="32"/>
          <w:szCs w:val="32"/>
          <w:lang w:val="en-US" w:eastAsia="zh-CN"/>
        </w:rPr>
      </w:pPr>
      <w:r>
        <w:rPr>
          <w:rFonts w:hint="eastAsia" w:ascii="仿宋_GB2312" w:eastAsia="仿宋_GB2312"/>
          <w:b w:val="0"/>
          <w:bCs w:val="0"/>
          <w:sz w:val="30"/>
          <w:szCs w:val="30"/>
          <w:lang w:val="en-US" w:eastAsia="zh-CN"/>
        </w:rPr>
        <w:t>中标单位需派出2名大专及以上学历的人员，驻点采购单位办公。</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outlineLvl w:val="0"/>
        <w:rPr>
          <w:rFonts w:ascii="黑体" w:hAnsi="黑体" w:eastAsia="黑体" w:cs="黑体"/>
          <w:bCs/>
          <w:sz w:val="32"/>
          <w:szCs w:val="32"/>
        </w:rPr>
      </w:pPr>
      <w:r>
        <w:rPr>
          <w:rFonts w:hint="eastAsia" w:ascii="黑体" w:hAnsi="黑体" w:eastAsia="黑体" w:cs="黑体"/>
          <w:bCs/>
          <w:sz w:val="32"/>
          <w:szCs w:val="32"/>
        </w:rPr>
        <w:t>四、评标细则</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CESI仿宋-GB2312"/>
          <w:sz w:val="32"/>
          <w:szCs w:val="32"/>
        </w:rPr>
      </w:pPr>
      <w:r>
        <w:rPr>
          <w:rFonts w:hint="eastAsia" w:ascii="仿宋" w:hAnsi="仿宋" w:eastAsia="仿宋" w:cs="CESI仿宋-GB2312"/>
          <w:sz w:val="32"/>
          <w:szCs w:val="32"/>
        </w:rPr>
        <w:t>本次采用综合评分法进行评审，采购小组将对各投标单位的投标方案、各项报价、综合实力等方面进行综合评审，对实质上响应招标文件的投标单位，由评委进行综合打分（结算结果按四舍五入取小数点后二位）。具体评分细则详见下表：</w:t>
      </w:r>
    </w:p>
    <w:tbl>
      <w:tblPr>
        <w:tblStyle w:val="15"/>
        <w:tblW w:w="5457"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62"/>
        <w:gridCol w:w="668"/>
        <w:gridCol w:w="1675"/>
        <w:gridCol w:w="1277"/>
        <w:gridCol w:w="50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56" w:type="pct"/>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426"/>
              </w:tabs>
              <w:wordWrap w:val="0"/>
              <w:spacing w:after="6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序号</w:t>
            </w:r>
          </w:p>
        </w:tc>
        <w:tc>
          <w:tcPr>
            <w:tcW w:w="1945"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426"/>
              </w:tabs>
              <w:wordWrap w:val="0"/>
              <w:spacing w:after="6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评分项</w:t>
            </w:r>
          </w:p>
        </w:tc>
        <w:tc>
          <w:tcPr>
            <w:tcW w:w="2697" w:type="pct"/>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426"/>
              </w:tabs>
              <w:wordWrap w:val="0"/>
              <w:spacing w:after="60"/>
              <w:jc w:val="center"/>
              <w:rPr>
                <w:rFonts w:hint="eastAsia" w:ascii="Times New Roman" w:hAnsi="Times New Roman" w:cs="Times New Roman" w:eastAsiaTheme="minorEastAsia"/>
                <w:b/>
                <w:bCs/>
                <w:color w:val="auto"/>
                <w:szCs w:val="21"/>
                <w:highlight w:val="none"/>
                <w:lang w:eastAsia="zh-CN"/>
              </w:rPr>
            </w:pPr>
            <w:r>
              <w:rPr>
                <w:rFonts w:hint="eastAsia" w:ascii="Times New Roman" w:hAnsi="Times New Roman" w:cs="Times New Roman"/>
                <w:b/>
                <w:bCs/>
                <w:color w:val="auto"/>
                <w:szCs w:val="21"/>
                <w:highlight w:val="none"/>
                <w:lang w:val="en-US" w:eastAsia="zh-CN"/>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12" w:hRule="atLeast"/>
          <w:jc w:val="center"/>
        </w:trPr>
        <w:tc>
          <w:tcPr>
            <w:tcW w:w="356" w:type="pct"/>
            <w:vMerge w:val="restart"/>
            <w:tcBorders>
              <w:top w:val="single" w:color="000000" w:sz="8" w:space="0"/>
              <w:left w:val="single" w:color="000000" w:sz="8" w:space="0"/>
              <w:right w:val="single" w:color="000000" w:sz="8" w:space="0"/>
            </w:tcBorders>
            <w:shd w:val="clear" w:color="auto" w:fill="auto"/>
            <w:vAlign w:val="center"/>
          </w:tcPr>
          <w:p>
            <w:pPr>
              <w:tabs>
                <w:tab w:val="left" w:pos="426"/>
              </w:tabs>
              <w:wordWrap w:val="0"/>
              <w:spacing w:after="6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w:t>
            </w:r>
          </w:p>
        </w:tc>
        <w:tc>
          <w:tcPr>
            <w:tcW w:w="1945" w:type="pct"/>
            <w:gridSpan w:val="3"/>
            <w:vMerge w:val="restart"/>
            <w:tcBorders>
              <w:top w:val="single" w:color="000000" w:sz="8" w:space="0"/>
              <w:left w:val="single" w:color="000000" w:sz="8" w:space="0"/>
              <w:right w:val="single" w:color="000000" w:sz="8" w:space="0"/>
            </w:tcBorders>
            <w:shd w:val="clear" w:color="auto" w:fill="auto"/>
            <w:vAlign w:val="center"/>
          </w:tcPr>
          <w:p>
            <w:pPr>
              <w:tabs>
                <w:tab w:val="left" w:pos="426"/>
              </w:tabs>
              <w:wordWrap w:val="0"/>
              <w:spacing w:after="6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价格</w:t>
            </w:r>
          </w:p>
        </w:tc>
        <w:tc>
          <w:tcPr>
            <w:tcW w:w="2697" w:type="pct"/>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426"/>
              </w:tabs>
              <w:wordWrap w:val="0"/>
              <w:spacing w:after="60"/>
              <w:jc w:val="center"/>
              <w:rPr>
                <w:rFonts w:hint="default" w:ascii="Times New Roman" w:hAnsi="Times New Roman" w:eastAsia="宋体" w:cs="Times New Roman"/>
                <w:b/>
                <w:bCs/>
                <w:color w:val="auto"/>
                <w:szCs w:val="21"/>
                <w:highlight w:val="none"/>
                <w:lang w:val="en-US" w:eastAsia="zh-CN"/>
              </w:rPr>
            </w:pPr>
            <w:r>
              <w:rPr>
                <w:rFonts w:hint="default" w:ascii="Times New Roman" w:hAnsi="Times New Roman" w:cs="Times New Roman"/>
                <w:b/>
                <w:bCs/>
                <w:color w:val="auto"/>
                <w:szCs w:val="21"/>
                <w:highlight w:val="none"/>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356" w:type="pct"/>
            <w:vMerge w:val="continue"/>
            <w:tcBorders>
              <w:left w:val="single" w:color="000000" w:sz="8" w:space="0"/>
              <w:bottom w:val="single" w:color="000000" w:sz="8" w:space="0"/>
              <w:right w:val="single" w:color="000000" w:sz="8" w:space="0"/>
            </w:tcBorders>
            <w:shd w:val="clear" w:color="auto" w:fill="auto"/>
            <w:vAlign w:val="center"/>
          </w:tcPr>
          <w:p>
            <w:pPr>
              <w:tabs>
                <w:tab w:val="left" w:pos="426"/>
              </w:tabs>
              <w:wordWrap w:val="0"/>
              <w:spacing w:after="60"/>
              <w:jc w:val="center"/>
              <w:rPr>
                <w:rFonts w:hint="default" w:ascii="Times New Roman" w:hAnsi="Times New Roman" w:cs="Times New Roman"/>
                <w:b/>
                <w:bCs/>
                <w:color w:val="auto"/>
                <w:szCs w:val="21"/>
                <w:highlight w:val="none"/>
              </w:rPr>
            </w:pPr>
          </w:p>
        </w:tc>
        <w:tc>
          <w:tcPr>
            <w:tcW w:w="1945" w:type="pct"/>
            <w:gridSpan w:val="3"/>
            <w:vMerge w:val="continue"/>
            <w:tcBorders>
              <w:left w:val="single" w:color="000000" w:sz="8" w:space="0"/>
              <w:bottom w:val="single" w:color="000000" w:sz="8" w:space="0"/>
              <w:right w:val="single" w:color="000000" w:sz="8" w:space="0"/>
            </w:tcBorders>
            <w:shd w:val="clear" w:color="auto" w:fill="auto"/>
            <w:vAlign w:val="center"/>
          </w:tcPr>
          <w:p>
            <w:pPr>
              <w:tabs>
                <w:tab w:val="left" w:pos="426"/>
              </w:tabs>
              <w:wordWrap w:val="0"/>
              <w:spacing w:after="60"/>
              <w:jc w:val="center"/>
              <w:rPr>
                <w:rFonts w:hint="default" w:ascii="Times New Roman" w:hAnsi="Times New Roman" w:cs="Times New Roman"/>
                <w:b/>
                <w:bCs/>
                <w:color w:val="auto"/>
                <w:szCs w:val="21"/>
                <w:highlight w:val="none"/>
              </w:rPr>
            </w:pPr>
          </w:p>
        </w:tc>
        <w:tc>
          <w:tcPr>
            <w:tcW w:w="2697" w:type="pct"/>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426"/>
              </w:tabs>
              <w:wordWrap w:val="0"/>
              <w:spacing w:after="60"/>
              <w:jc w:val="both"/>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根据《政府采购促进中小企业发展管理办法》（财库﹝2020﹞46号），服务由中小企业承接的，即提供服务的人员为中小企业依照《中华人民共和国劳动合同法》订立劳动合同的从业人员，可享受本办法规定的中小企业扶持政策。</w:t>
            </w:r>
          </w:p>
          <w:p>
            <w:pPr>
              <w:tabs>
                <w:tab w:val="left" w:pos="426"/>
              </w:tabs>
              <w:wordWrap w:val="0"/>
              <w:spacing w:after="60"/>
              <w:jc w:val="both"/>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（1）服务由</w:t>
            </w:r>
            <w:r>
              <w:rPr>
                <w:rFonts w:hint="default" w:ascii="Times New Roman" w:hAnsi="Times New Roman" w:cs="Times New Roman"/>
                <w:b/>
                <w:bCs/>
                <w:color w:val="auto"/>
                <w:szCs w:val="21"/>
                <w:highlight w:val="none"/>
                <w:lang w:val="en-US" w:eastAsia="zh-CN"/>
              </w:rPr>
              <w:t>小微企业</w:t>
            </w:r>
            <w:r>
              <w:rPr>
                <w:rFonts w:hint="default" w:ascii="Times New Roman" w:hAnsi="Times New Roman" w:cs="Times New Roman"/>
                <w:b w:val="0"/>
                <w:bCs w:val="0"/>
                <w:color w:val="auto"/>
                <w:szCs w:val="21"/>
                <w:highlight w:val="none"/>
                <w:lang w:val="en-US" w:eastAsia="zh-CN"/>
              </w:rPr>
              <w:t>承接的，可享受对其投标报价扣除10%的价格评审优惠，用扣除后的价格参加评审。</w:t>
            </w:r>
          </w:p>
          <w:p>
            <w:pPr>
              <w:tabs>
                <w:tab w:val="left" w:pos="426"/>
              </w:tabs>
              <w:wordWrap w:val="0"/>
              <w:spacing w:after="60"/>
              <w:jc w:val="both"/>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（2）监狱企业、残疾人福利性单位视为小微企业，享受扶持政策。</w:t>
            </w:r>
          </w:p>
          <w:p>
            <w:pPr>
              <w:tabs>
                <w:tab w:val="left" w:pos="426"/>
              </w:tabs>
              <w:wordWrap w:val="0"/>
              <w:spacing w:after="60"/>
              <w:jc w:val="both"/>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3）享受中小企业扶持政策的供应商应如实填写《中小企业声明函》、《残疾人福利性单位声明函》、《监狱企业声明函》等承诺性质的资料（声明函样式见本招标文件第三部分“格式及附件”中第二章节提供的格式）；监狱企业或者代理提供监狱企业货物的供应商如须享受中小企业扶持政策的，除上述资料外，还须提供省级以上监狱管理局、戒毒管理局（含新疆生产建设兵团）出具的监狱企业证明文件。</w:t>
            </w:r>
          </w:p>
          <w:p>
            <w:pPr>
              <w:tabs>
                <w:tab w:val="left" w:pos="426"/>
              </w:tabs>
              <w:wordWrap w:val="0"/>
              <w:spacing w:after="60"/>
              <w:jc w:val="both"/>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（4）供应商不重复享受多项价格评审优惠政策。</w:t>
            </w:r>
          </w:p>
          <w:p>
            <w:pPr>
              <w:tabs>
                <w:tab w:val="left" w:pos="426"/>
              </w:tabs>
              <w:wordWrap w:val="0"/>
              <w:spacing w:after="60"/>
              <w:jc w:val="both"/>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相关中小企业扶持政策具体以《政府采购促进中小企业发展管理办法》（财库〔2020〕46号）等最新规定为准。</w:t>
            </w:r>
          </w:p>
          <w:p>
            <w:pPr>
              <w:tabs>
                <w:tab w:val="left" w:pos="426"/>
              </w:tabs>
              <w:wordWrap w:val="0"/>
              <w:spacing w:after="60"/>
              <w:jc w:val="both"/>
              <w:rPr>
                <w:rFonts w:hint="default" w:ascii="Times New Roman" w:hAnsi="Times New Roman" w:cs="Times New Roman"/>
                <w:b/>
                <w:bCs/>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价格分计算方法：采用低价优先法计算，即满足招标文件要求且投标价格最低的投标报价为评标基准价，其价格分为满分。其他投标人的价格分统一按照下列公式计算：投标报价得分=(评标基准价／投标报价)×20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56" w:type="pct"/>
            <w:vMerge w:val="restart"/>
            <w:tcBorders>
              <w:top w:val="single" w:color="000000" w:sz="8" w:space="0"/>
              <w:left w:val="single" w:color="000000" w:sz="8" w:space="0"/>
              <w:right w:val="single" w:color="000000" w:sz="8" w:space="0"/>
            </w:tcBorders>
            <w:shd w:val="clear" w:color="auto" w:fill="auto"/>
            <w:vAlign w:val="center"/>
          </w:tcPr>
          <w:p>
            <w:pPr>
              <w:tabs>
                <w:tab w:val="left" w:pos="426"/>
              </w:tabs>
              <w:wordWrap w:val="0"/>
              <w:spacing w:after="6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2</w:t>
            </w:r>
          </w:p>
        </w:tc>
        <w:tc>
          <w:tcPr>
            <w:tcW w:w="1945"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426"/>
              </w:tabs>
              <w:wordWrap w:val="0"/>
              <w:spacing w:after="6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技术部分</w:t>
            </w:r>
          </w:p>
        </w:tc>
        <w:tc>
          <w:tcPr>
            <w:tcW w:w="2697" w:type="pct"/>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426"/>
              </w:tabs>
              <w:wordWrap w:val="0"/>
              <w:spacing w:after="60"/>
              <w:jc w:val="center"/>
              <w:rPr>
                <w:rFonts w:hint="default" w:ascii="Times New Roman" w:hAnsi="Times New Roman" w:eastAsia="宋体" w:cs="Times New Roman"/>
                <w:b/>
                <w:bCs/>
                <w:color w:val="auto"/>
                <w:szCs w:val="21"/>
                <w:highlight w:val="none"/>
                <w:lang w:val="en-US" w:eastAsia="zh-CN"/>
              </w:rPr>
            </w:pPr>
            <w:r>
              <w:rPr>
                <w:rFonts w:hint="default" w:ascii="Times New Roman" w:hAnsi="Times New Roman" w:eastAsia="宋体" w:cs="Times New Roman"/>
                <w:b/>
                <w:bCs/>
                <w:color w:val="auto"/>
                <w:szCs w:val="21"/>
                <w:highlight w:val="none"/>
                <w:lang w:val="en-US" w:eastAsia="zh-CN"/>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56" w:type="pct"/>
            <w:vMerge w:val="continue"/>
            <w:tcBorders>
              <w:left w:val="single" w:color="000000" w:sz="8" w:space="0"/>
              <w:right w:val="single" w:color="000000" w:sz="8" w:space="0"/>
            </w:tcBorders>
            <w:shd w:val="clear" w:color="auto" w:fill="auto"/>
            <w:vAlign w:val="center"/>
          </w:tcPr>
          <w:p>
            <w:pPr>
              <w:tabs>
                <w:tab w:val="left" w:pos="426"/>
              </w:tabs>
              <w:spacing w:after="60"/>
              <w:jc w:val="center"/>
              <w:rPr>
                <w:rFonts w:hint="default" w:ascii="Times New Roman" w:hAnsi="Times New Roman" w:cs="Times New Roman"/>
                <w:b/>
                <w:bCs/>
                <w:color w:val="auto"/>
                <w:szCs w:val="21"/>
                <w:highlight w:val="none"/>
              </w:rPr>
            </w:pPr>
          </w:p>
        </w:tc>
        <w:tc>
          <w:tcPr>
            <w:tcW w:w="359" w:type="pct"/>
            <w:tcBorders>
              <w:top w:val="outset" w:color="000000" w:sz="6" w:space="0"/>
              <w:left w:val="outset" w:color="000000" w:sz="6" w:space="0"/>
              <w:bottom w:val="outset" w:color="000000" w:sz="6" w:space="0"/>
              <w:right w:val="outset" w:color="000000" w:sz="6" w:space="0"/>
            </w:tcBorders>
            <w:shd w:val="clear" w:color="auto" w:fill="auto"/>
            <w:vAlign w:val="center"/>
          </w:tcPr>
          <w:p>
            <w:pPr>
              <w:tabs>
                <w:tab w:val="left" w:pos="426"/>
              </w:tabs>
              <w:wordWrap w:val="0"/>
              <w:spacing w:after="6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900" w:type="pct"/>
            <w:tcBorders>
              <w:top w:val="outset" w:color="000000" w:sz="6" w:space="0"/>
              <w:left w:val="outset" w:color="000000" w:sz="6" w:space="0"/>
              <w:bottom w:val="outset" w:color="000000" w:sz="6" w:space="0"/>
              <w:right w:val="outset" w:color="000000" w:sz="6" w:space="0"/>
            </w:tcBorders>
            <w:shd w:val="clear" w:color="auto" w:fill="auto"/>
            <w:vAlign w:val="center"/>
          </w:tcPr>
          <w:p>
            <w:pPr>
              <w:tabs>
                <w:tab w:val="left" w:pos="426"/>
              </w:tabs>
              <w:wordWrap w:val="0"/>
              <w:spacing w:after="6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评分因素</w:t>
            </w:r>
          </w:p>
        </w:tc>
        <w:tc>
          <w:tcPr>
            <w:tcW w:w="685" w:type="pct"/>
            <w:tcBorders>
              <w:top w:val="outset" w:color="000000" w:sz="6" w:space="0"/>
              <w:left w:val="outset" w:color="000000" w:sz="6" w:space="0"/>
              <w:bottom w:val="outset" w:color="000000" w:sz="6" w:space="0"/>
              <w:right w:val="outset" w:color="000000" w:sz="6" w:space="0"/>
            </w:tcBorders>
            <w:shd w:val="clear" w:color="auto" w:fill="auto"/>
            <w:vAlign w:val="center"/>
          </w:tcPr>
          <w:p>
            <w:pPr>
              <w:tabs>
                <w:tab w:val="left" w:pos="426"/>
              </w:tabs>
              <w:wordWrap w:val="0"/>
              <w:spacing w:after="6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权重</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w:t>
            </w:r>
          </w:p>
        </w:tc>
        <w:tc>
          <w:tcPr>
            <w:tcW w:w="2697" w:type="pct"/>
            <w:tcBorders>
              <w:top w:val="outset" w:color="000000" w:sz="6" w:space="0"/>
              <w:left w:val="outset" w:color="000000" w:sz="6" w:space="0"/>
              <w:bottom w:val="outset" w:color="000000" w:sz="6" w:space="0"/>
              <w:right w:val="outset" w:color="000000" w:sz="6" w:space="0"/>
            </w:tcBorders>
            <w:shd w:val="clear" w:color="auto" w:fill="auto"/>
            <w:vAlign w:val="center"/>
          </w:tcPr>
          <w:p>
            <w:pPr>
              <w:tabs>
                <w:tab w:val="left" w:pos="426"/>
              </w:tabs>
              <w:wordWrap w:val="0"/>
              <w:spacing w:after="6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130" w:hRule="atLeast"/>
          <w:jc w:val="center"/>
        </w:trPr>
        <w:tc>
          <w:tcPr>
            <w:tcW w:w="356" w:type="pct"/>
            <w:vMerge w:val="continue"/>
            <w:tcBorders>
              <w:left w:val="single" w:color="000000" w:sz="8" w:space="0"/>
              <w:right w:val="single" w:color="000000" w:sz="8" w:space="0"/>
            </w:tcBorders>
            <w:shd w:val="clear" w:color="auto" w:fill="E6EFFA"/>
            <w:vAlign w:val="center"/>
          </w:tcPr>
          <w:p>
            <w:pPr>
              <w:tabs>
                <w:tab w:val="left" w:pos="426"/>
              </w:tabs>
              <w:spacing w:after="60"/>
              <w:rPr>
                <w:rFonts w:hint="default" w:ascii="Times New Roman" w:hAnsi="Times New Roman" w:cs="Times New Roman"/>
                <w:b/>
                <w:bCs/>
                <w:color w:val="auto"/>
                <w:szCs w:val="21"/>
                <w:highlight w:val="none"/>
              </w:rPr>
            </w:pPr>
          </w:p>
        </w:tc>
        <w:tc>
          <w:tcPr>
            <w:tcW w:w="359" w:type="pct"/>
            <w:tcBorders>
              <w:top w:val="outset" w:color="000000" w:sz="6" w:space="0"/>
              <w:left w:val="outset" w:color="000000" w:sz="6" w:space="0"/>
              <w:bottom w:val="outset" w:color="000000" w:sz="6" w:space="0"/>
              <w:right w:val="outset" w:color="000000" w:sz="6" w:space="0"/>
            </w:tcBorders>
            <w:shd w:val="clear" w:color="auto" w:fill="auto"/>
            <w:vAlign w:val="center"/>
          </w:tcPr>
          <w:p>
            <w:pPr>
              <w:tabs>
                <w:tab w:val="left" w:pos="426"/>
              </w:tabs>
              <w:wordWrap w:val="0"/>
              <w:spacing w:after="6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900" w:type="pct"/>
            <w:tcBorders>
              <w:top w:val="outset" w:color="000000" w:sz="6" w:space="0"/>
              <w:left w:val="outset" w:color="000000" w:sz="6" w:space="0"/>
              <w:bottom w:val="outset" w:color="000000" w:sz="6" w:space="0"/>
              <w:right w:val="outset" w:color="000000" w:sz="6" w:space="0"/>
            </w:tcBorders>
            <w:shd w:val="clear" w:color="auto" w:fill="auto"/>
            <w:vAlign w:val="center"/>
          </w:tcPr>
          <w:p>
            <w:pPr>
              <w:tabs>
                <w:tab w:val="left" w:pos="426"/>
              </w:tabs>
              <w:spacing w:line="320" w:lineRule="exact"/>
              <w:jc w:val="center"/>
              <w:rPr>
                <w:rFonts w:hint="default" w:ascii="Times New Roman" w:hAnsi="Times New Roman" w:cs="Times New Roman"/>
                <w:color w:val="auto"/>
                <w:szCs w:val="21"/>
                <w:highlight w:val="none"/>
              </w:rPr>
            </w:pPr>
            <w:r>
              <w:rPr>
                <w:rFonts w:hint="default" w:ascii="Times New Roman" w:hAnsi="Times New Roman" w:cs="Times New Roman"/>
                <w:szCs w:val="21"/>
                <w:lang w:val="en-US" w:eastAsia="zh-CN"/>
              </w:rPr>
              <w:t>服务</w:t>
            </w:r>
            <w:r>
              <w:rPr>
                <w:rFonts w:hint="default" w:ascii="Times New Roman" w:hAnsi="Times New Roman" w:cs="Times New Roman"/>
                <w:szCs w:val="21"/>
              </w:rPr>
              <w:t>方案</w:t>
            </w:r>
          </w:p>
        </w:tc>
        <w:tc>
          <w:tcPr>
            <w:tcW w:w="685" w:type="pct"/>
            <w:tcBorders>
              <w:top w:val="outset" w:color="000000" w:sz="6" w:space="0"/>
              <w:left w:val="outset" w:color="000000" w:sz="6" w:space="0"/>
              <w:bottom w:val="outset" w:color="000000" w:sz="6" w:space="0"/>
              <w:right w:val="outset" w:color="000000" w:sz="6" w:space="0"/>
            </w:tcBorders>
            <w:shd w:val="clear" w:color="auto" w:fill="auto"/>
            <w:vAlign w:val="center"/>
          </w:tcPr>
          <w:p>
            <w:pPr>
              <w:tabs>
                <w:tab w:val="left" w:pos="426"/>
              </w:tabs>
              <w:spacing w:line="320" w:lineRule="exact"/>
              <w:jc w:val="center"/>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color w:val="auto"/>
                <w:szCs w:val="21"/>
                <w:highlight w:val="none"/>
                <w:lang w:val="en-US" w:eastAsia="zh-CN"/>
              </w:rPr>
              <w:t>15</w:t>
            </w:r>
          </w:p>
        </w:tc>
        <w:tc>
          <w:tcPr>
            <w:tcW w:w="2697" w:type="pct"/>
            <w:tcBorders>
              <w:top w:val="outset" w:color="000000" w:sz="6" w:space="0"/>
              <w:left w:val="outset" w:color="000000" w:sz="6" w:space="0"/>
              <w:bottom w:val="outset" w:color="000000" w:sz="6" w:space="0"/>
              <w:right w:val="outset" w:color="000000" w:sz="6" w:space="0"/>
            </w:tcBorders>
            <w:shd w:val="clear" w:color="auto" w:fill="auto"/>
            <w:vAlign w:val="center"/>
          </w:tcPr>
          <w:p>
            <w:pPr>
              <w:tabs>
                <w:tab w:val="left" w:pos="426"/>
              </w:tabs>
              <w:adjustRightInd w:val="0"/>
              <w:snapToGrid w:val="0"/>
              <w:spacing w:line="240" w:lineRule="auto"/>
              <w:jc w:val="lef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评分内容：</w:t>
            </w:r>
          </w:p>
          <w:p>
            <w:pPr>
              <w:tabs>
                <w:tab w:val="left" w:pos="426"/>
              </w:tabs>
              <w:adjustRightInd w:val="0"/>
              <w:snapToGrid w:val="0"/>
              <w:spacing w:line="240" w:lineRule="auto"/>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根据投标文件中对本项目的</w:t>
            </w:r>
            <w:r>
              <w:rPr>
                <w:rFonts w:hint="default" w:ascii="Times New Roman" w:hAnsi="Times New Roman" w:cs="Times New Roman"/>
                <w:color w:val="auto"/>
                <w:sz w:val="21"/>
                <w:szCs w:val="21"/>
                <w:lang w:val="en-US" w:eastAsia="zh-CN"/>
              </w:rPr>
              <w:t>服务</w:t>
            </w:r>
            <w:r>
              <w:rPr>
                <w:rFonts w:hint="default" w:ascii="Times New Roman" w:hAnsi="Times New Roman" w:cs="Times New Roman"/>
                <w:color w:val="auto"/>
                <w:sz w:val="21"/>
                <w:szCs w:val="21"/>
              </w:rPr>
              <w:t>方案进行评分。包括但不限于：</w:t>
            </w:r>
          </w:p>
          <w:p>
            <w:pPr>
              <w:tabs>
                <w:tab w:val="left" w:pos="426"/>
              </w:tabs>
              <w:adjustRightInd w:val="0"/>
              <w:snapToGrid w:val="0"/>
              <w:spacing w:line="240" w:lineRule="auto"/>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1.项目整体设想及规划；</w:t>
            </w:r>
          </w:p>
          <w:p>
            <w:pPr>
              <w:tabs>
                <w:tab w:val="left" w:pos="426"/>
              </w:tabs>
              <w:adjustRightInd w:val="0"/>
              <w:snapToGrid w:val="0"/>
              <w:spacing w:line="240" w:lineRule="auto"/>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2.项目管理目标；</w:t>
            </w:r>
          </w:p>
          <w:p>
            <w:pPr>
              <w:tabs>
                <w:tab w:val="left" w:pos="426"/>
              </w:tabs>
              <w:adjustRightInd w:val="0"/>
              <w:snapToGrid w:val="0"/>
              <w:spacing w:line="240" w:lineRule="auto"/>
              <w:jc w:val="left"/>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.项目工作流程是符合项目实际要求</w:t>
            </w:r>
            <w:r>
              <w:rPr>
                <w:rFonts w:hint="default" w:ascii="Times New Roman" w:hAnsi="Times New Roman" w:cs="Times New Roman"/>
                <w:color w:val="auto"/>
                <w:sz w:val="21"/>
                <w:szCs w:val="21"/>
                <w:lang w:eastAsia="zh-CN"/>
              </w:rPr>
              <w:t>；</w:t>
            </w:r>
          </w:p>
          <w:p>
            <w:pPr>
              <w:pStyle w:val="2"/>
              <w:rPr>
                <w:rFonts w:hint="default" w:ascii="Times New Roman" w:hAnsi="Times New Roman" w:eastAsia="宋体" w:cs="Times New Roman"/>
                <w:lang w:val="en-US" w:eastAsia="zh-CN"/>
              </w:rPr>
            </w:pPr>
            <w:r>
              <w:rPr>
                <w:rFonts w:hint="default" w:ascii="Times New Roman" w:hAnsi="Times New Roman" w:cs="Times New Roman"/>
                <w:color w:val="auto"/>
                <w:sz w:val="21"/>
                <w:szCs w:val="21"/>
                <w:lang w:val="en-US" w:eastAsia="zh-CN"/>
              </w:rPr>
              <w:t>4.应急事件保障。</w:t>
            </w:r>
          </w:p>
          <w:p>
            <w:pPr>
              <w:tabs>
                <w:tab w:val="left" w:pos="426"/>
              </w:tabs>
              <w:adjustRightInd w:val="0"/>
              <w:snapToGrid w:val="0"/>
              <w:spacing w:line="240" w:lineRule="auto"/>
              <w:jc w:val="lef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评分依据：</w:t>
            </w:r>
          </w:p>
          <w:p>
            <w:pPr>
              <w:tabs>
                <w:tab w:val="left" w:pos="426"/>
              </w:tabs>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根据招标文件的需求和投标文件响应情况进行分档评分： </w:t>
            </w:r>
          </w:p>
          <w:p>
            <w:pPr>
              <w:tabs>
                <w:tab w:val="left" w:pos="426"/>
              </w:tabs>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（1）实施方案内容全面；</w:t>
            </w:r>
          </w:p>
          <w:p>
            <w:pPr>
              <w:tabs>
                <w:tab w:val="left" w:pos="426"/>
              </w:tabs>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（2）实施方案内容具体；</w:t>
            </w:r>
          </w:p>
          <w:p>
            <w:pPr>
              <w:tabs>
                <w:tab w:val="left" w:pos="426"/>
              </w:tabs>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（3）实施方案内容科学合理；</w:t>
            </w:r>
          </w:p>
          <w:p>
            <w:pPr>
              <w:tabs>
                <w:tab w:val="left" w:pos="426"/>
              </w:tabs>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（4）实施方案内容针对性强；</w:t>
            </w:r>
          </w:p>
          <w:p>
            <w:pPr>
              <w:tabs>
                <w:tab w:val="left" w:pos="426"/>
              </w:tabs>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（5）实施方案内容可操作性强。</w:t>
            </w:r>
          </w:p>
          <w:p>
            <w:pPr>
              <w:tabs>
                <w:tab w:val="left" w:pos="426"/>
              </w:tabs>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满足以上五项要求的得</w:t>
            </w:r>
            <w:r>
              <w:rPr>
                <w:rFonts w:hint="eastAsia" w:ascii="Times New Roman" w:hAnsi="Times New Roman" w:cs="Times New Roman"/>
                <w:color w:val="auto"/>
                <w:sz w:val="21"/>
                <w:szCs w:val="21"/>
                <w:lang w:val="en-US" w:eastAsia="zh-CN"/>
              </w:rPr>
              <w:t>15</w:t>
            </w:r>
            <w:r>
              <w:rPr>
                <w:rFonts w:hint="default" w:ascii="Times New Roman" w:hAnsi="Times New Roman" w:cs="Times New Roman"/>
                <w:color w:val="auto"/>
                <w:sz w:val="21"/>
                <w:szCs w:val="21"/>
              </w:rPr>
              <w:t>分；</w:t>
            </w:r>
          </w:p>
          <w:p>
            <w:pPr>
              <w:tabs>
                <w:tab w:val="left" w:pos="426"/>
              </w:tabs>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满足以上四项要求的得</w:t>
            </w:r>
            <w:r>
              <w:rPr>
                <w:rFonts w:hint="eastAsia" w:ascii="Times New Roman" w:hAnsi="Times New Roman" w:cs="Times New Roman"/>
                <w:color w:val="auto"/>
                <w:sz w:val="21"/>
                <w:szCs w:val="21"/>
                <w:lang w:val="en-US" w:eastAsia="zh-CN"/>
              </w:rPr>
              <w:t>10</w:t>
            </w:r>
            <w:r>
              <w:rPr>
                <w:rFonts w:hint="default" w:ascii="Times New Roman" w:hAnsi="Times New Roman" w:cs="Times New Roman"/>
                <w:color w:val="auto"/>
                <w:sz w:val="21"/>
                <w:szCs w:val="21"/>
              </w:rPr>
              <w:t>分；</w:t>
            </w:r>
          </w:p>
          <w:p>
            <w:pPr>
              <w:tabs>
                <w:tab w:val="left" w:pos="426"/>
              </w:tabs>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满足以上三项要求的得</w:t>
            </w:r>
            <w:r>
              <w:rPr>
                <w:rFonts w:hint="eastAsia"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rPr>
              <w:t>分；</w:t>
            </w:r>
          </w:p>
          <w:p>
            <w:pPr>
              <w:tabs>
                <w:tab w:val="left" w:pos="426"/>
              </w:tabs>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rPr>
              <w:t>上述情况之外的得0分。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56" w:type="pct"/>
            <w:vMerge w:val="continue"/>
            <w:tcBorders>
              <w:left w:val="single" w:color="000000" w:sz="8" w:space="0"/>
              <w:right w:val="single" w:color="000000" w:sz="8" w:space="0"/>
            </w:tcBorders>
            <w:vAlign w:val="center"/>
          </w:tcPr>
          <w:p>
            <w:pPr>
              <w:tabs>
                <w:tab w:val="left" w:pos="426"/>
              </w:tabs>
              <w:spacing w:after="60"/>
              <w:rPr>
                <w:rFonts w:hint="default" w:ascii="Times New Roman" w:hAnsi="Times New Roman" w:cs="Times New Roman"/>
                <w:b/>
                <w:bCs/>
                <w:color w:val="auto"/>
                <w:szCs w:val="21"/>
                <w:highlight w:val="none"/>
              </w:rPr>
            </w:pPr>
          </w:p>
        </w:tc>
        <w:tc>
          <w:tcPr>
            <w:tcW w:w="359" w:type="pct"/>
            <w:tcBorders>
              <w:top w:val="single" w:color="000000" w:sz="8" w:space="0"/>
              <w:left w:val="single" w:color="000000" w:sz="8" w:space="0"/>
              <w:bottom w:val="single" w:color="000000" w:sz="8" w:space="0"/>
              <w:right w:val="single" w:color="000000" w:sz="8" w:space="0"/>
            </w:tcBorders>
            <w:vAlign w:val="center"/>
          </w:tcPr>
          <w:p>
            <w:pPr>
              <w:tabs>
                <w:tab w:val="left" w:pos="426"/>
              </w:tabs>
              <w:wordWrap w:val="0"/>
              <w:spacing w:after="60"/>
              <w:jc w:val="center"/>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color w:val="auto"/>
                <w:szCs w:val="21"/>
                <w:highlight w:val="none"/>
                <w:lang w:val="en-US" w:eastAsia="zh-CN"/>
              </w:rPr>
              <w:t>2</w:t>
            </w:r>
          </w:p>
        </w:tc>
        <w:tc>
          <w:tcPr>
            <w:tcW w:w="900" w:type="pct"/>
            <w:tcBorders>
              <w:top w:val="single" w:color="000000" w:sz="8" w:space="0"/>
              <w:left w:val="single" w:color="000000" w:sz="8" w:space="0"/>
              <w:bottom w:val="single" w:color="000000" w:sz="8" w:space="0"/>
              <w:right w:val="single" w:color="000000" w:sz="8" w:space="0"/>
            </w:tcBorders>
            <w:vAlign w:val="center"/>
          </w:tcPr>
          <w:p>
            <w:pPr>
              <w:tabs>
                <w:tab w:val="left" w:pos="426"/>
              </w:tabs>
              <w:spacing w:line="320" w:lineRule="exact"/>
              <w:jc w:val="center"/>
              <w:rPr>
                <w:rFonts w:hint="default" w:ascii="Times New Roman" w:hAnsi="Times New Roman" w:cs="Times New Roman"/>
                <w:color w:val="auto"/>
                <w:szCs w:val="21"/>
                <w:highlight w:val="none"/>
                <w:lang w:bidi="ar"/>
              </w:rPr>
            </w:pPr>
            <w:r>
              <w:rPr>
                <w:rFonts w:hint="default" w:ascii="Times New Roman" w:hAnsi="Times New Roman" w:cs="Times New Roman"/>
                <w:szCs w:val="21"/>
              </w:rPr>
              <w:t>项目完成（服务期满）后的服务承诺</w:t>
            </w:r>
          </w:p>
        </w:tc>
        <w:tc>
          <w:tcPr>
            <w:tcW w:w="685" w:type="pct"/>
            <w:tcBorders>
              <w:top w:val="single" w:color="000000" w:sz="8" w:space="0"/>
              <w:left w:val="single" w:color="000000" w:sz="8" w:space="0"/>
              <w:bottom w:val="single" w:color="000000" w:sz="8" w:space="0"/>
              <w:right w:val="single" w:color="000000" w:sz="8" w:space="0"/>
            </w:tcBorders>
            <w:vAlign w:val="center"/>
          </w:tcPr>
          <w:p>
            <w:pPr>
              <w:tabs>
                <w:tab w:val="left" w:pos="426"/>
              </w:tabs>
              <w:spacing w:line="320" w:lineRule="exact"/>
              <w:jc w:val="center"/>
              <w:rPr>
                <w:rFonts w:hint="default" w:ascii="Times New Roman" w:hAnsi="Times New Roman" w:cs="Times New Roman" w:eastAsiaTheme="minorEastAsia"/>
                <w:color w:val="auto"/>
                <w:szCs w:val="21"/>
                <w:highlight w:val="none"/>
                <w:lang w:val="en-US" w:eastAsia="zh-CN" w:bidi="ar"/>
              </w:rPr>
            </w:pPr>
            <w:r>
              <w:rPr>
                <w:rFonts w:hint="default" w:ascii="Times New Roman" w:hAnsi="Times New Roman" w:cs="Times New Roman"/>
                <w:color w:val="auto"/>
                <w:szCs w:val="21"/>
                <w:highlight w:val="none"/>
                <w:lang w:val="en-US" w:eastAsia="zh-CN" w:bidi="ar"/>
              </w:rPr>
              <w:t>5</w:t>
            </w:r>
          </w:p>
        </w:tc>
        <w:tc>
          <w:tcPr>
            <w:tcW w:w="2697" w:type="pct"/>
            <w:tcBorders>
              <w:top w:val="single" w:color="000000" w:sz="8" w:space="0"/>
              <w:left w:val="single" w:color="000000" w:sz="8" w:space="0"/>
              <w:bottom w:val="single" w:color="000000" w:sz="8" w:space="0"/>
              <w:right w:val="single" w:color="000000" w:sz="8" w:space="0"/>
            </w:tcBorders>
            <w:vAlign w:val="center"/>
          </w:tcPr>
          <w:p>
            <w:pPr>
              <w:tabs>
                <w:tab w:val="left" w:pos="426"/>
              </w:tabs>
              <w:adjustRightInd w:val="0"/>
              <w:snapToGrid w:val="0"/>
              <w:spacing w:line="240" w:lineRule="auto"/>
              <w:jc w:val="lef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评分内容：</w:t>
            </w:r>
          </w:p>
          <w:p>
            <w:pPr>
              <w:tabs>
                <w:tab w:val="left" w:pos="426"/>
              </w:tabs>
              <w:adjustRightInd w:val="0"/>
              <w:snapToGrid w:val="0"/>
              <w:spacing w:line="240" w:lineRule="auto"/>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针对本项目的需求提供项目完成（服务期满）后的服务承诺，内容包括但不限于：</w:t>
            </w:r>
          </w:p>
          <w:p>
            <w:pPr>
              <w:numPr>
                <w:ilvl w:val="0"/>
                <w:numId w:val="0"/>
              </w:numPr>
              <w:adjustRightInd w:val="0"/>
              <w:snapToGrid w:val="0"/>
              <w:spacing w:line="240" w:lineRule="auto"/>
              <w:jc w:val="left"/>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投标人服务期满后与后续服务公司的交接承诺；</w:t>
            </w:r>
          </w:p>
          <w:p>
            <w:pPr>
              <w:tabs>
                <w:tab w:val="left" w:pos="426"/>
              </w:tabs>
              <w:adjustRightInd w:val="0"/>
              <w:snapToGrid w:val="0"/>
              <w:spacing w:line="240" w:lineRule="auto"/>
              <w:jc w:val="left"/>
              <w:rPr>
                <w:rFonts w:hint="default" w:ascii="Times New Roman" w:hAnsi="Times New Roman" w:cs="Times New Roman"/>
                <w:b/>
                <w:color w:val="auto"/>
                <w:sz w:val="21"/>
                <w:szCs w:val="21"/>
              </w:rPr>
            </w:pPr>
            <w:r>
              <w:rPr>
                <w:rFonts w:hint="default" w:ascii="Times New Roman" w:hAnsi="Times New Roman" w:cs="Times New Roman"/>
                <w:color w:val="auto"/>
                <w:sz w:val="21"/>
                <w:szCs w:val="21"/>
              </w:rPr>
              <w:t>2.投标人服务期满，后续服务公司未到位前，仍按原合同服务承诺提供服务的承诺；</w:t>
            </w:r>
          </w:p>
          <w:p>
            <w:pPr>
              <w:tabs>
                <w:tab w:val="left" w:pos="426"/>
              </w:tabs>
              <w:adjustRightInd w:val="0"/>
              <w:snapToGrid w:val="0"/>
              <w:spacing w:line="240" w:lineRule="auto"/>
              <w:jc w:val="left"/>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color w:val="auto"/>
                <w:sz w:val="21"/>
                <w:szCs w:val="21"/>
              </w:rPr>
              <w:t>3.采购人遇有特殊情况（如资金未到位）时，需投标人暂时垫付员工工资时，同意应按时支付员工工资的承诺</w:t>
            </w:r>
            <w:r>
              <w:rPr>
                <w:rFonts w:hint="eastAsia" w:ascii="Times New Roman" w:hAnsi="Times New Roman" w:cs="Times New Roman"/>
                <w:color w:val="auto"/>
                <w:sz w:val="21"/>
                <w:szCs w:val="21"/>
                <w:lang w:eastAsia="zh-CN"/>
              </w:rPr>
              <w:t>。</w:t>
            </w:r>
          </w:p>
          <w:p>
            <w:pPr>
              <w:tabs>
                <w:tab w:val="left" w:pos="426"/>
              </w:tabs>
              <w:adjustRightInd w:val="0"/>
              <w:snapToGrid w:val="0"/>
              <w:spacing w:line="240" w:lineRule="auto"/>
              <w:jc w:val="lef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评分依据：</w:t>
            </w:r>
          </w:p>
          <w:p>
            <w:pPr>
              <w:tabs>
                <w:tab w:val="left" w:pos="426"/>
              </w:tabs>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rPr>
              <w:t>投标人需提供违约承诺函（格式自拟），承诺函包括上述三项内容得</w:t>
            </w:r>
            <w:r>
              <w:rPr>
                <w:rFonts w:hint="default"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rPr>
              <w:t>分</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未按招标文件要求或未承诺的不得分。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025" w:hRule="atLeast"/>
          <w:jc w:val="center"/>
        </w:trPr>
        <w:tc>
          <w:tcPr>
            <w:tcW w:w="356" w:type="pct"/>
            <w:vMerge w:val="continue"/>
            <w:tcBorders>
              <w:left w:val="single" w:color="000000" w:sz="8" w:space="0"/>
              <w:right w:val="single" w:color="000000" w:sz="8" w:space="0"/>
            </w:tcBorders>
            <w:vAlign w:val="center"/>
          </w:tcPr>
          <w:p>
            <w:pPr>
              <w:tabs>
                <w:tab w:val="left" w:pos="426"/>
              </w:tabs>
              <w:spacing w:after="60"/>
              <w:rPr>
                <w:rFonts w:hint="default" w:ascii="Times New Roman" w:hAnsi="Times New Roman" w:cs="Times New Roman"/>
                <w:b/>
                <w:bCs/>
                <w:color w:val="auto"/>
                <w:szCs w:val="21"/>
                <w:highlight w:val="none"/>
              </w:rPr>
            </w:pPr>
          </w:p>
        </w:tc>
        <w:tc>
          <w:tcPr>
            <w:tcW w:w="359" w:type="pct"/>
            <w:tcBorders>
              <w:top w:val="single" w:color="000000" w:sz="8" w:space="0"/>
              <w:left w:val="single" w:color="000000" w:sz="8" w:space="0"/>
              <w:bottom w:val="single" w:color="000000" w:sz="8" w:space="0"/>
              <w:right w:val="single" w:color="000000" w:sz="8" w:space="0"/>
            </w:tcBorders>
            <w:vAlign w:val="center"/>
          </w:tcPr>
          <w:p>
            <w:pPr>
              <w:tabs>
                <w:tab w:val="left" w:pos="426"/>
              </w:tabs>
              <w:wordWrap w:val="0"/>
              <w:spacing w:after="60"/>
              <w:jc w:val="center"/>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color w:val="auto"/>
                <w:szCs w:val="21"/>
                <w:highlight w:val="none"/>
                <w:lang w:val="en-US" w:eastAsia="zh-CN"/>
              </w:rPr>
              <w:t>4</w:t>
            </w:r>
          </w:p>
        </w:tc>
        <w:tc>
          <w:tcPr>
            <w:tcW w:w="900" w:type="pct"/>
            <w:tcBorders>
              <w:top w:val="single" w:color="000000" w:sz="8" w:space="0"/>
              <w:left w:val="single" w:color="000000" w:sz="8" w:space="0"/>
              <w:bottom w:val="single" w:color="000000" w:sz="8" w:space="0"/>
              <w:right w:val="single" w:color="000000" w:sz="8" w:space="0"/>
            </w:tcBorders>
            <w:vAlign w:val="center"/>
          </w:tcPr>
          <w:p>
            <w:pPr>
              <w:tabs>
                <w:tab w:val="left" w:pos="426"/>
              </w:tabs>
              <w:spacing w:line="32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违约承诺</w:t>
            </w:r>
          </w:p>
        </w:tc>
        <w:tc>
          <w:tcPr>
            <w:tcW w:w="685" w:type="pct"/>
            <w:tcBorders>
              <w:top w:val="single" w:color="000000" w:sz="8" w:space="0"/>
              <w:left w:val="single" w:color="000000" w:sz="8" w:space="0"/>
              <w:bottom w:val="single" w:color="000000" w:sz="8" w:space="0"/>
              <w:right w:val="single" w:color="000000" w:sz="8" w:space="0"/>
            </w:tcBorders>
            <w:vAlign w:val="center"/>
          </w:tcPr>
          <w:p>
            <w:pPr>
              <w:tabs>
                <w:tab w:val="left" w:pos="426"/>
              </w:tabs>
              <w:spacing w:line="32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5</w:t>
            </w:r>
          </w:p>
        </w:tc>
        <w:tc>
          <w:tcPr>
            <w:tcW w:w="2697" w:type="pct"/>
            <w:tcBorders>
              <w:top w:val="single" w:color="000000" w:sz="8" w:space="0"/>
              <w:left w:val="single" w:color="000000" w:sz="8" w:space="0"/>
              <w:bottom w:val="single" w:color="000000" w:sz="8" w:space="0"/>
              <w:right w:val="single" w:color="000000" w:sz="8" w:space="0"/>
            </w:tcBorders>
            <w:vAlign w:val="center"/>
          </w:tcPr>
          <w:p>
            <w:pPr>
              <w:tabs>
                <w:tab w:val="left" w:pos="426"/>
              </w:tabs>
              <w:adjustRightInd w:val="0"/>
              <w:snapToGrid w:val="0"/>
              <w:spacing w:line="240" w:lineRule="auto"/>
              <w:jc w:val="lef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评分内容：</w:t>
            </w:r>
          </w:p>
          <w:p>
            <w:pPr>
              <w:tabs>
                <w:tab w:val="left" w:pos="426"/>
              </w:tabs>
              <w:adjustRightInd w:val="0"/>
              <w:snapToGrid w:val="0"/>
              <w:spacing w:line="240" w:lineRule="auto"/>
              <w:jc w:val="left"/>
              <w:rPr>
                <w:rFonts w:hint="default" w:ascii="Times New Roman" w:hAnsi="Times New Roman" w:cs="Times New Roman"/>
              </w:rPr>
            </w:pPr>
            <w:r>
              <w:rPr>
                <w:rFonts w:hint="default" w:ascii="Times New Roman" w:hAnsi="Times New Roman" w:cs="Times New Roman"/>
              </w:rPr>
              <w:t>1.承诺回避与社会组织的利害关系、承诺对项目信息保密、承诺在约定时间内完成采购人分配的任务；</w:t>
            </w:r>
          </w:p>
          <w:p>
            <w:pPr>
              <w:tabs>
                <w:tab w:val="left" w:pos="426"/>
              </w:tabs>
              <w:spacing w:line="240" w:lineRule="auto"/>
              <w:rPr>
                <w:rFonts w:hint="default" w:ascii="Times New Roman" w:hAnsi="Times New Roman" w:cs="Times New Roman"/>
              </w:rPr>
            </w:pPr>
            <w:r>
              <w:rPr>
                <w:rFonts w:hint="default" w:ascii="Times New Roman" w:hAnsi="Times New Roman" w:cs="Times New Roman"/>
              </w:rPr>
              <w:t>2.承诺负责发放员工的工资、绩效工资和奖金、福利等人员费用需经采购人审核后按时足额支付员工；</w:t>
            </w:r>
          </w:p>
          <w:p>
            <w:pPr>
              <w:tabs>
                <w:tab w:val="left" w:pos="426"/>
              </w:tabs>
              <w:spacing w:line="240" w:lineRule="auto"/>
              <w:rPr>
                <w:rFonts w:hint="eastAsia" w:ascii="Times New Roman" w:hAnsi="Times New Roman" w:cs="Times New Roman" w:eastAsiaTheme="minorEastAsia"/>
                <w:lang w:eastAsia="zh-CN"/>
              </w:rPr>
            </w:pPr>
            <w:r>
              <w:rPr>
                <w:rFonts w:hint="default" w:ascii="Times New Roman" w:hAnsi="Times New Roman" w:cs="Times New Roman"/>
              </w:rPr>
              <w:t>3.不转包、</w:t>
            </w:r>
            <w:r>
              <w:rPr>
                <w:rFonts w:hint="eastAsia" w:ascii="Times New Roman" w:hAnsi="Times New Roman" w:cs="Times New Roman"/>
                <w:lang w:val="en-US" w:eastAsia="zh-CN"/>
              </w:rPr>
              <w:t>非法</w:t>
            </w:r>
            <w:r>
              <w:rPr>
                <w:rFonts w:hint="default" w:ascii="Times New Roman" w:hAnsi="Times New Roman" w:cs="Times New Roman"/>
              </w:rPr>
              <w:t>分包；如发现转包或</w:t>
            </w:r>
            <w:r>
              <w:rPr>
                <w:rFonts w:hint="eastAsia" w:ascii="Times New Roman" w:hAnsi="Times New Roman" w:cs="Times New Roman"/>
                <w:lang w:val="en-US" w:eastAsia="zh-CN"/>
              </w:rPr>
              <w:t>非法</w:t>
            </w:r>
            <w:r>
              <w:rPr>
                <w:rFonts w:hint="default" w:ascii="Times New Roman" w:hAnsi="Times New Roman" w:cs="Times New Roman"/>
              </w:rPr>
              <w:t>分包，除终止劳务合同外，同意给予合同总额的</w:t>
            </w:r>
            <w:r>
              <w:rPr>
                <w:rFonts w:hint="eastAsia" w:ascii="Times New Roman" w:hAnsi="Times New Roman" w:cs="Times New Roman"/>
                <w:lang w:val="en-US" w:eastAsia="zh-CN"/>
              </w:rPr>
              <w:t>3</w:t>
            </w:r>
            <w:r>
              <w:rPr>
                <w:rFonts w:hint="default" w:ascii="Times New Roman" w:hAnsi="Times New Roman" w:cs="Times New Roman"/>
              </w:rPr>
              <w:t>%作为另外招标和停工所造成的损失补偿</w:t>
            </w:r>
            <w:r>
              <w:rPr>
                <w:rFonts w:hint="eastAsia" w:ascii="Times New Roman" w:hAnsi="Times New Roman" w:cs="Times New Roman"/>
                <w:lang w:eastAsia="zh-CN"/>
              </w:rPr>
              <w:t>。</w:t>
            </w:r>
          </w:p>
          <w:p>
            <w:pPr>
              <w:tabs>
                <w:tab w:val="left" w:pos="426"/>
              </w:tabs>
              <w:adjustRightInd w:val="0"/>
              <w:snapToGrid w:val="0"/>
              <w:spacing w:line="240" w:lineRule="auto"/>
              <w:jc w:val="lef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评分依据：</w:t>
            </w:r>
          </w:p>
          <w:p>
            <w:pPr>
              <w:pStyle w:val="2"/>
              <w:spacing w:line="240" w:lineRule="auto"/>
              <w:rPr>
                <w:rFonts w:hint="default" w:ascii="Times New Roman" w:hAnsi="Times New Roman" w:cs="Times New Roman"/>
              </w:rPr>
            </w:pPr>
            <w:r>
              <w:rPr>
                <w:rFonts w:hint="default" w:ascii="Times New Roman" w:hAnsi="Times New Roman" w:cs="Times New Roman"/>
                <w:color w:val="auto"/>
                <w:sz w:val="21"/>
                <w:szCs w:val="21"/>
              </w:rPr>
              <w:t>投标人需提供违约承诺函（格式自拟），承诺函包括上述三项内容得</w:t>
            </w:r>
            <w:r>
              <w:rPr>
                <w:rFonts w:hint="default"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rPr>
              <w:t>分。未按招标文件要求或未承诺的不得分。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90" w:hRule="atLeast"/>
          <w:jc w:val="center"/>
        </w:trPr>
        <w:tc>
          <w:tcPr>
            <w:tcW w:w="356" w:type="pct"/>
            <w:vMerge w:val="continue"/>
            <w:tcBorders>
              <w:left w:val="single" w:color="000000" w:sz="8" w:space="0"/>
              <w:right w:val="single" w:color="000000" w:sz="8" w:space="0"/>
            </w:tcBorders>
            <w:vAlign w:val="center"/>
          </w:tcPr>
          <w:p>
            <w:pPr>
              <w:tabs>
                <w:tab w:val="left" w:pos="426"/>
              </w:tabs>
              <w:spacing w:after="60"/>
              <w:rPr>
                <w:rFonts w:hint="default" w:ascii="Times New Roman" w:hAnsi="Times New Roman" w:cs="Times New Roman"/>
                <w:b/>
                <w:bCs/>
                <w:color w:val="auto"/>
                <w:szCs w:val="21"/>
                <w:highlight w:val="none"/>
              </w:rPr>
            </w:pPr>
          </w:p>
        </w:tc>
        <w:tc>
          <w:tcPr>
            <w:tcW w:w="359" w:type="pct"/>
            <w:tcBorders>
              <w:top w:val="single" w:color="000000" w:sz="8" w:space="0"/>
              <w:left w:val="single" w:color="000000" w:sz="8" w:space="0"/>
              <w:bottom w:val="single" w:color="000000" w:sz="8" w:space="0"/>
              <w:right w:val="single" w:color="000000" w:sz="8" w:space="0"/>
            </w:tcBorders>
            <w:vAlign w:val="center"/>
          </w:tcPr>
          <w:p>
            <w:pPr>
              <w:tabs>
                <w:tab w:val="left" w:pos="426"/>
              </w:tabs>
              <w:wordWrap w:val="0"/>
              <w:spacing w:after="6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4</w:t>
            </w:r>
          </w:p>
        </w:tc>
        <w:tc>
          <w:tcPr>
            <w:tcW w:w="900" w:type="pct"/>
            <w:tcBorders>
              <w:top w:val="single" w:color="000000" w:sz="8" w:space="0"/>
              <w:left w:val="single" w:color="000000" w:sz="8" w:space="0"/>
              <w:bottom w:val="single" w:color="000000" w:sz="8" w:space="0"/>
              <w:right w:val="single" w:color="000000" w:sz="8" w:space="0"/>
            </w:tcBorders>
            <w:vAlign w:val="center"/>
          </w:tcPr>
          <w:p>
            <w:pPr>
              <w:tabs>
                <w:tab w:val="left" w:pos="426"/>
              </w:tabs>
              <w:spacing w:line="320" w:lineRule="exact"/>
              <w:jc w:val="center"/>
              <w:rPr>
                <w:rFonts w:hint="default" w:ascii="Times New Roman" w:hAnsi="Times New Roman" w:cs="Times New Roman"/>
                <w:color w:val="auto"/>
                <w:szCs w:val="21"/>
                <w:highlight w:val="none"/>
                <w:lang w:bidi="ar"/>
              </w:rPr>
            </w:pPr>
            <w:r>
              <w:rPr>
                <w:rFonts w:hint="default" w:ascii="Times New Roman" w:hAnsi="Times New Roman" w:cs="Times New Roman"/>
                <w:color w:val="000000"/>
                <w:szCs w:val="21"/>
              </w:rPr>
              <w:t>拟安排的项目负责人情况（仅限一人）</w:t>
            </w:r>
          </w:p>
        </w:tc>
        <w:tc>
          <w:tcPr>
            <w:tcW w:w="685" w:type="pct"/>
            <w:tcBorders>
              <w:top w:val="single" w:color="000000" w:sz="8" w:space="0"/>
              <w:left w:val="single" w:color="000000" w:sz="8" w:space="0"/>
              <w:bottom w:val="single" w:color="000000" w:sz="8" w:space="0"/>
              <w:right w:val="single" w:color="000000" w:sz="8" w:space="0"/>
            </w:tcBorders>
            <w:vAlign w:val="center"/>
          </w:tcPr>
          <w:p>
            <w:pPr>
              <w:tabs>
                <w:tab w:val="left" w:pos="426"/>
              </w:tabs>
              <w:spacing w:line="320" w:lineRule="exact"/>
              <w:jc w:val="center"/>
              <w:rPr>
                <w:rFonts w:hint="default" w:ascii="Times New Roman" w:hAnsi="Times New Roman" w:cs="Times New Roman"/>
                <w:color w:val="auto"/>
                <w:szCs w:val="21"/>
                <w:highlight w:val="none"/>
                <w:lang w:bidi="ar"/>
              </w:rPr>
            </w:pPr>
            <w:r>
              <w:rPr>
                <w:rFonts w:hint="default" w:ascii="Times New Roman" w:hAnsi="Times New Roman" w:cs="Times New Roman"/>
                <w:szCs w:val="21"/>
              </w:rPr>
              <w:t>10</w:t>
            </w:r>
          </w:p>
        </w:tc>
        <w:tc>
          <w:tcPr>
            <w:tcW w:w="2697" w:type="pct"/>
            <w:tcBorders>
              <w:top w:val="single" w:color="000000" w:sz="8" w:space="0"/>
              <w:left w:val="single" w:color="000000" w:sz="8" w:space="0"/>
              <w:bottom w:val="single" w:color="000000" w:sz="8" w:space="0"/>
              <w:right w:val="single" w:color="000000" w:sz="8" w:space="0"/>
            </w:tcBorders>
            <w:vAlign w:val="center"/>
          </w:tcPr>
          <w:p>
            <w:pPr>
              <w:tabs>
                <w:tab w:val="left" w:pos="426"/>
              </w:tabs>
              <w:adjustRightInd w:val="0"/>
              <w:snapToGrid w:val="0"/>
              <w:spacing w:line="240" w:lineRule="auto"/>
              <w:jc w:val="both"/>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评分内容：</w:t>
            </w:r>
          </w:p>
          <w:p>
            <w:pPr>
              <w:tabs>
                <w:tab w:val="left" w:pos="426"/>
              </w:tabs>
              <w:spacing w:line="240" w:lineRule="auto"/>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投标人为本项目安排的负责人（仅限1人）：</w:t>
            </w:r>
          </w:p>
          <w:p>
            <w:pPr>
              <w:tabs>
                <w:tab w:val="left" w:pos="426"/>
              </w:tabs>
              <w:spacing w:line="240" w:lineRule="auto"/>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1.项目团队负责人具备</w:t>
            </w:r>
            <w:r>
              <w:rPr>
                <w:rFonts w:hint="default" w:ascii="Times New Roman" w:hAnsi="Times New Roman" w:cs="Times New Roman"/>
                <w:color w:val="auto"/>
                <w:sz w:val="21"/>
                <w:szCs w:val="21"/>
                <w:lang w:val="en-US" w:eastAsia="zh-CN"/>
              </w:rPr>
              <w:t>管理类</w:t>
            </w:r>
            <w:r>
              <w:rPr>
                <w:rFonts w:hint="default" w:ascii="Times New Roman" w:hAnsi="Times New Roman" w:cs="Times New Roman"/>
                <w:color w:val="auto"/>
                <w:sz w:val="21"/>
                <w:szCs w:val="21"/>
              </w:rPr>
              <w:t>研究生（或以上）学历的且具有硕士（或以上）学位，得</w:t>
            </w:r>
            <w:r>
              <w:rPr>
                <w:rFonts w:hint="default"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rPr>
              <w:t>分；</w:t>
            </w:r>
          </w:p>
          <w:p>
            <w:pPr>
              <w:tabs>
                <w:tab w:val="left" w:pos="426"/>
              </w:tabs>
              <w:spacing w:line="240" w:lineRule="auto"/>
              <w:jc w:val="both"/>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2.项目团队负责人具备一级人力资源管理师职业资格，得</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分</w:t>
            </w:r>
            <w:r>
              <w:rPr>
                <w:rFonts w:hint="default" w:ascii="Times New Roman" w:hAnsi="Times New Roman" w:cs="Times New Roman"/>
                <w:color w:val="auto"/>
                <w:sz w:val="21"/>
                <w:szCs w:val="21"/>
                <w:lang w:eastAsia="zh-CN"/>
              </w:rPr>
              <w:t>；</w:t>
            </w:r>
          </w:p>
          <w:p>
            <w:pPr>
              <w:pStyle w:val="9"/>
              <w:tabs>
                <w:tab w:val="left" w:pos="426"/>
              </w:tabs>
              <w:spacing w:line="240" w:lineRule="auto"/>
              <w:jc w:val="both"/>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3.项目团队负责人具备的劳动关系协调员二级（或以上）</w:t>
            </w:r>
            <w:r>
              <w:rPr>
                <w:rFonts w:hint="default" w:ascii="Times New Roman" w:hAnsi="Times New Roman" w:cs="Times New Roman"/>
                <w:color w:val="auto"/>
                <w:sz w:val="21"/>
                <w:szCs w:val="21"/>
                <w:lang w:val="en-US" w:eastAsia="zh-CN"/>
              </w:rPr>
              <w:t>证书</w:t>
            </w:r>
            <w:r>
              <w:rPr>
                <w:rFonts w:hint="default" w:ascii="Times New Roman" w:hAnsi="Times New Roman" w:cs="Times New Roman"/>
                <w:color w:val="auto"/>
                <w:sz w:val="21"/>
                <w:szCs w:val="21"/>
              </w:rPr>
              <w:t>，得</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分</w:t>
            </w:r>
            <w:r>
              <w:rPr>
                <w:rFonts w:hint="default" w:ascii="Times New Roman" w:hAnsi="Times New Roman" w:cs="Times New Roman"/>
                <w:color w:val="auto"/>
                <w:sz w:val="21"/>
                <w:szCs w:val="21"/>
                <w:lang w:eastAsia="zh-CN"/>
              </w:rPr>
              <w:t>；</w:t>
            </w:r>
          </w:p>
          <w:p>
            <w:pPr>
              <w:tabs>
                <w:tab w:val="left" w:pos="426"/>
              </w:tabs>
              <w:adjustRightInd w:val="0"/>
              <w:snapToGrid w:val="0"/>
              <w:spacing w:line="240" w:lineRule="auto"/>
              <w:jc w:val="both"/>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评分依据：</w:t>
            </w:r>
          </w:p>
          <w:p>
            <w:pPr>
              <w:tabs>
                <w:tab w:val="left" w:pos="426"/>
              </w:tabs>
              <w:spacing w:line="240" w:lineRule="auto"/>
              <w:jc w:val="both"/>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color w:val="auto"/>
                <w:sz w:val="21"/>
                <w:szCs w:val="21"/>
              </w:rPr>
              <w:t>1.提供项目负责人的学历证明</w:t>
            </w:r>
            <w:r>
              <w:rPr>
                <w:rFonts w:hint="default" w:ascii="Times New Roman" w:hAnsi="Times New Roman" w:cs="Times New Roman"/>
                <w:color w:val="auto"/>
                <w:sz w:val="21"/>
                <w:szCs w:val="21"/>
                <w:lang w:val="en-US" w:eastAsia="zh-CN"/>
              </w:rPr>
              <w:t>和所涉及的</w:t>
            </w:r>
            <w:r>
              <w:rPr>
                <w:rFonts w:hint="default" w:ascii="Times New Roman" w:hAnsi="Times New Roman" w:cs="Times New Roman"/>
                <w:color w:val="auto"/>
                <w:sz w:val="21"/>
                <w:szCs w:val="21"/>
              </w:rPr>
              <w:t>资格证书扫描件</w:t>
            </w:r>
            <w:r>
              <w:rPr>
                <w:rFonts w:hint="eastAsia" w:ascii="Times New Roman" w:hAnsi="Times New Roman" w:cs="Times New Roman"/>
                <w:color w:val="auto"/>
                <w:sz w:val="21"/>
                <w:szCs w:val="21"/>
                <w:lang w:eastAsia="zh-CN"/>
              </w:rPr>
              <w:t>；</w:t>
            </w:r>
          </w:p>
          <w:p>
            <w:pPr>
              <w:tabs>
                <w:tab w:val="left" w:pos="426"/>
              </w:tabs>
              <w:spacing w:line="240" w:lineRule="auto"/>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rPr>
              <w:t>2.投标人为</w:t>
            </w:r>
            <w:r>
              <w:rPr>
                <w:rFonts w:hint="default" w:ascii="Times New Roman" w:hAnsi="Times New Roman" w:cs="Times New Roman"/>
                <w:color w:val="auto"/>
                <w:sz w:val="21"/>
                <w:szCs w:val="21"/>
                <w:lang w:val="en-US" w:eastAsia="zh-CN"/>
              </w:rPr>
              <w:t>项目负责人</w:t>
            </w:r>
            <w:r>
              <w:rPr>
                <w:rFonts w:hint="default" w:ascii="Times New Roman" w:hAnsi="Times New Roman" w:cs="Times New Roman"/>
                <w:color w:val="auto"/>
                <w:sz w:val="21"/>
                <w:szCs w:val="21"/>
              </w:rPr>
              <w:t>缴纳的自2022年</w:t>
            </w:r>
            <w:r>
              <w:rPr>
                <w:rFonts w:hint="default" w:ascii="Times New Roman" w:hAnsi="Times New Roman" w:cs="Times New Roman"/>
                <w:color w:val="auto"/>
                <w:sz w:val="21"/>
                <w:szCs w:val="21"/>
                <w:lang w:val="en-US" w:eastAsia="zh-CN"/>
              </w:rPr>
              <w:t>9</w:t>
            </w:r>
            <w:r>
              <w:rPr>
                <w:rFonts w:hint="default" w:ascii="Times New Roman" w:hAnsi="Times New Roman" w:cs="Times New Roman"/>
                <w:color w:val="auto"/>
                <w:sz w:val="21"/>
                <w:szCs w:val="21"/>
              </w:rPr>
              <w:t>月-2022年</w:t>
            </w:r>
            <w:r>
              <w:rPr>
                <w:rFonts w:hint="default" w:ascii="Times New Roman" w:hAnsi="Times New Roman" w:cs="Times New Roman"/>
                <w:color w:val="auto"/>
                <w:sz w:val="21"/>
                <w:szCs w:val="21"/>
                <w:lang w:val="en-US" w:eastAsia="zh-CN"/>
              </w:rPr>
              <w:t>11</w:t>
            </w:r>
            <w:r>
              <w:rPr>
                <w:rFonts w:hint="default" w:ascii="Times New Roman" w:hAnsi="Times New Roman" w:cs="Times New Roman"/>
                <w:color w:val="auto"/>
                <w:sz w:val="21"/>
                <w:szCs w:val="21"/>
              </w:rPr>
              <w:t>月加盖社</w:t>
            </w:r>
            <w:bookmarkStart w:id="0" w:name="_GoBack"/>
            <w:bookmarkEnd w:id="0"/>
            <w:r>
              <w:rPr>
                <w:rFonts w:hint="default" w:ascii="Times New Roman" w:hAnsi="Times New Roman" w:cs="Times New Roman"/>
                <w:color w:val="auto"/>
                <w:sz w:val="21"/>
                <w:szCs w:val="21"/>
              </w:rPr>
              <w:t>保部门公章的社保证明（社保不中断，如投标截止日上一个月的社保证明因社保部门原因暂时无法取得，则可往前顺延一个月</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834" w:hRule="atLeast"/>
          <w:jc w:val="center"/>
        </w:trPr>
        <w:tc>
          <w:tcPr>
            <w:tcW w:w="356" w:type="pct"/>
            <w:vMerge w:val="continue"/>
            <w:tcBorders>
              <w:left w:val="single" w:color="000000" w:sz="8" w:space="0"/>
              <w:bottom w:val="single" w:color="000000" w:sz="8" w:space="0"/>
              <w:right w:val="single" w:color="000000" w:sz="8" w:space="0"/>
            </w:tcBorders>
            <w:vAlign w:val="center"/>
          </w:tcPr>
          <w:p>
            <w:pPr>
              <w:tabs>
                <w:tab w:val="left" w:pos="426"/>
              </w:tabs>
              <w:spacing w:after="60"/>
              <w:rPr>
                <w:rFonts w:hint="default" w:ascii="Times New Roman" w:hAnsi="Times New Roman" w:cs="Times New Roman"/>
                <w:b/>
                <w:bCs/>
                <w:color w:val="auto"/>
                <w:szCs w:val="21"/>
                <w:highlight w:val="none"/>
              </w:rPr>
            </w:pPr>
          </w:p>
        </w:tc>
        <w:tc>
          <w:tcPr>
            <w:tcW w:w="359" w:type="pct"/>
            <w:tcBorders>
              <w:top w:val="single" w:color="000000" w:sz="8" w:space="0"/>
              <w:left w:val="single" w:color="000000" w:sz="8" w:space="0"/>
              <w:bottom w:val="single" w:color="000000" w:sz="8" w:space="0"/>
              <w:right w:val="single" w:color="000000" w:sz="8" w:space="0"/>
            </w:tcBorders>
            <w:vAlign w:val="center"/>
          </w:tcPr>
          <w:p>
            <w:pPr>
              <w:tabs>
                <w:tab w:val="left" w:pos="426"/>
              </w:tabs>
              <w:wordWrap w:val="0"/>
              <w:spacing w:after="6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5</w:t>
            </w:r>
          </w:p>
        </w:tc>
        <w:tc>
          <w:tcPr>
            <w:tcW w:w="900" w:type="pct"/>
            <w:tcBorders>
              <w:top w:val="single" w:color="000000" w:sz="8" w:space="0"/>
              <w:left w:val="single" w:color="000000" w:sz="8" w:space="0"/>
              <w:bottom w:val="single" w:color="000000" w:sz="8" w:space="0"/>
              <w:right w:val="single" w:color="000000" w:sz="8" w:space="0"/>
            </w:tcBorders>
            <w:vAlign w:val="center"/>
          </w:tcPr>
          <w:p>
            <w:pPr>
              <w:tabs>
                <w:tab w:val="left" w:pos="426"/>
              </w:tabs>
              <w:spacing w:line="320" w:lineRule="exact"/>
              <w:jc w:val="center"/>
              <w:rPr>
                <w:rFonts w:hint="default" w:ascii="Times New Roman" w:hAnsi="Times New Roman" w:cs="Times New Roman"/>
                <w:color w:val="auto"/>
                <w:szCs w:val="21"/>
                <w:highlight w:val="none"/>
                <w:lang w:bidi="ar"/>
              </w:rPr>
            </w:pPr>
            <w:r>
              <w:rPr>
                <w:rFonts w:hint="default" w:ascii="Times New Roman" w:hAnsi="Times New Roman" w:cs="Times New Roman"/>
                <w:color w:val="000000"/>
                <w:szCs w:val="21"/>
              </w:rPr>
              <w:t>拟安排的项目团队情况</w:t>
            </w:r>
          </w:p>
        </w:tc>
        <w:tc>
          <w:tcPr>
            <w:tcW w:w="685" w:type="pct"/>
            <w:tcBorders>
              <w:top w:val="single" w:color="000000" w:sz="8" w:space="0"/>
              <w:left w:val="single" w:color="000000" w:sz="8" w:space="0"/>
              <w:bottom w:val="single" w:color="000000" w:sz="8" w:space="0"/>
              <w:right w:val="single" w:color="000000" w:sz="8" w:space="0"/>
            </w:tcBorders>
            <w:vAlign w:val="center"/>
          </w:tcPr>
          <w:p>
            <w:pPr>
              <w:tabs>
                <w:tab w:val="left" w:pos="426"/>
              </w:tabs>
              <w:spacing w:line="320" w:lineRule="exact"/>
              <w:jc w:val="center"/>
              <w:rPr>
                <w:rFonts w:hint="default" w:ascii="Times New Roman" w:hAnsi="Times New Roman" w:cs="Times New Roman"/>
                <w:color w:val="auto"/>
                <w:szCs w:val="21"/>
                <w:highlight w:val="none"/>
                <w:lang w:bidi="ar"/>
              </w:rPr>
            </w:pPr>
            <w:r>
              <w:rPr>
                <w:rFonts w:hint="default" w:ascii="Times New Roman" w:hAnsi="Times New Roman" w:cs="Times New Roman"/>
                <w:szCs w:val="21"/>
              </w:rPr>
              <w:t>10</w:t>
            </w:r>
          </w:p>
        </w:tc>
        <w:tc>
          <w:tcPr>
            <w:tcW w:w="2697" w:type="pct"/>
            <w:tcBorders>
              <w:top w:val="single" w:color="000000" w:sz="8" w:space="0"/>
              <w:left w:val="single" w:color="000000" w:sz="8" w:space="0"/>
              <w:bottom w:val="single" w:color="000000" w:sz="8" w:space="0"/>
              <w:right w:val="single" w:color="000000" w:sz="8" w:space="0"/>
            </w:tcBorders>
            <w:vAlign w:val="center"/>
          </w:tcPr>
          <w:p>
            <w:pPr>
              <w:tabs>
                <w:tab w:val="left" w:pos="426"/>
              </w:tabs>
              <w:adjustRightInd w:val="0"/>
              <w:snapToGrid w:val="0"/>
              <w:spacing w:line="240" w:lineRule="auto"/>
              <w:jc w:val="both"/>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评分内容：</w:t>
            </w:r>
          </w:p>
          <w:p>
            <w:pPr>
              <w:pStyle w:val="2"/>
              <w:tabs>
                <w:tab w:val="left" w:pos="426"/>
              </w:tabs>
              <w:spacing w:line="240" w:lineRule="auto"/>
              <w:jc w:val="both"/>
              <w:rPr>
                <w:rFonts w:hint="default" w:ascii="Times New Roman" w:hAnsi="Times New Roman" w:eastAsia="宋体" w:cs="Times New Roman"/>
                <w:lang w:val="en-US" w:eastAsia="zh-CN"/>
              </w:rPr>
            </w:pPr>
            <w:r>
              <w:rPr>
                <w:rFonts w:hint="default" w:ascii="Times New Roman" w:hAnsi="Times New Roman" w:cs="Times New Roman"/>
                <w:color w:val="auto"/>
                <w:sz w:val="21"/>
                <w:szCs w:val="21"/>
              </w:rPr>
              <w:t>投标人为本项目安排的</w:t>
            </w:r>
            <w:r>
              <w:rPr>
                <w:rFonts w:hint="default" w:ascii="Times New Roman" w:hAnsi="Times New Roman" w:cs="Times New Roman"/>
                <w:color w:val="auto"/>
                <w:sz w:val="21"/>
                <w:szCs w:val="21"/>
                <w:lang w:val="en-US" w:eastAsia="zh-CN"/>
              </w:rPr>
              <w:t>项目团队成员：</w:t>
            </w:r>
          </w:p>
          <w:p>
            <w:pPr>
              <w:pStyle w:val="9"/>
              <w:tabs>
                <w:tab w:val="left" w:pos="426"/>
              </w:tabs>
              <w:spacing w:line="240" w:lineRule="auto"/>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1.具有本科</w:t>
            </w:r>
            <w:r>
              <w:rPr>
                <w:rFonts w:hint="default" w:ascii="Times New Roman" w:hAnsi="Times New Roman" w:cs="Times New Roman"/>
                <w:color w:val="auto"/>
                <w:sz w:val="21"/>
                <w:szCs w:val="21"/>
                <w:lang w:val="en-US" w:eastAsia="zh-CN"/>
              </w:rPr>
              <w:t>或</w:t>
            </w:r>
            <w:r>
              <w:rPr>
                <w:rFonts w:hint="default" w:ascii="Times New Roman" w:hAnsi="Times New Roman" w:cs="Times New Roman"/>
                <w:color w:val="auto"/>
                <w:sz w:val="21"/>
                <w:szCs w:val="21"/>
              </w:rPr>
              <w:t>上且具有企业人力资源管理师一级和劳动关系协调员二级的，得</w:t>
            </w:r>
            <w:r>
              <w:rPr>
                <w:rFonts w:hint="default"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rPr>
              <w:t>分；</w:t>
            </w:r>
          </w:p>
          <w:p>
            <w:pPr>
              <w:pStyle w:val="9"/>
              <w:tabs>
                <w:tab w:val="left" w:pos="426"/>
              </w:tabs>
              <w:spacing w:line="240" w:lineRule="auto"/>
              <w:jc w:val="both"/>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具有本科</w:t>
            </w:r>
            <w:r>
              <w:rPr>
                <w:rFonts w:hint="default" w:ascii="Times New Roman" w:hAnsi="Times New Roman" w:cs="Times New Roman"/>
                <w:color w:val="auto"/>
                <w:sz w:val="21"/>
                <w:szCs w:val="21"/>
                <w:lang w:val="en-US" w:eastAsia="zh-CN"/>
              </w:rPr>
              <w:t>或</w:t>
            </w:r>
            <w:r>
              <w:rPr>
                <w:rFonts w:hint="default" w:ascii="Times New Roman" w:hAnsi="Times New Roman" w:cs="Times New Roman"/>
                <w:color w:val="auto"/>
                <w:sz w:val="21"/>
                <w:szCs w:val="21"/>
              </w:rPr>
              <w:t>以上学历</w:t>
            </w:r>
            <w:r>
              <w:rPr>
                <w:rFonts w:hint="default" w:ascii="Times New Roman" w:hAnsi="Times New Roman" w:cs="Times New Roman"/>
                <w:color w:val="auto"/>
                <w:sz w:val="21"/>
                <w:szCs w:val="21"/>
                <w:lang w:val="en-US" w:eastAsia="zh-CN"/>
              </w:rPr>
              <w:t>且具有</w:t>
            </w:r>
            <w:r>
              <w:rPr>
                <w:rFonts w:hint="default" w:ascii="Times New Roman" w:hAnsi="Times New Roman" w:cs="Times New Roman"/>
                <w:color w:val="auto"/>
                <w:sz w:val="21"/>
                <w:szCs w:val="21"/>
              </w:rPr>
              <w:t>企业人力资源管理师三级资格证书的和心理咨询师二级资格证书的</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得</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分</w:t>
            </w:r>
            <w:r>
              <w:rPr>
                <w:rFonts w:hint="default" w:ascii="Times New Roman" w:hAnsi="Times New Roman" w:cs="Times New Roman"/>
                <w:color w:val="auto"/>
                <w:sz w:val="21"/>
                <w:szCs w:val="21"/>
                <w:lang w:eastAsia="zh-CN"/>
              </w:rPr>
              <w:t>；</w:t>
            </w:r>
          </w:p>
          <w:p>
            <w:pPr>
              <w:tabs>
                <w:tab w:val="left" w:pos="426"/>
              </w:tabs>
              <w:spacing w:line="240" w:lineRule="auto"/>
              <w:jc w:val="both"/>
              <w:rPr>
                <w:rFonts w:hint="default" w:ascii="Times New Roman" w:hAnsi="Times New Roman" w:cs="Times New Roman"/>
              </w:rPr>
            </w:pP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具有本科</w:t>
            </w:r>
            <w:r>
              <w:rPr>
                <w:rFonts w:hint="default" w:ascii="Times New Roman" w:hAnsi="Times New Roman" w:cs="Times New Roman"/>
                <w:color w:val="auto"/>
                <w:sz w:val="21"/>
                <w:szCs w:val="21"/>
                <w:lang w:val="en-US" w:eastAsia="zh-CN"/>
              </w:rPr>
              <w:t>或</w:t>
            </w:r>
            <w:r>
              <w:rPr>
                <w:rFonts w:hint="default" w:ascii="Times New Roman" w:hAnsi="Times New Roman" w:cs="Times New Roman"/>
                <w:color w:val="auto"/>
                <w:sz w:val="21"/>
                <w:szCs w:val="21"/>
              </w:rPr>
              <w:t>以上学历</w:t>
            </w:r>
            <w:r>
              <w:rPr>
                <w:rFonts w:hint="default" w:ascii="Times New Roman" w:hAnsi="Times New Roman" w:cs="Times New Roman"/>
                <w:color w:val="auto"/>
                <w:sz w:val="21"/>
                <w:szCs w:val="21"/>
                <w:lang w:val="en-US" w:eastAsia="zh-CN"/>
              </w:rPr>
              <w:t>且具有客户服务管理师二级或以上证书和高级企业培训师的，得3分</w:t>
            </w:r>
            <w:r>
              <w:rPr>
                <w:rFonts w:hint="eastAsia" w:ascii="Times New Roman" w:hAnsi="Times New Roman" w:cs="Times New Roman"/>
                <w:color w:val="auto"/>
                <w:sz w:val="21"/>
                <w:szCs w:val="21"/>
                <w:lang w:val="en-US" w:eastAsia="zh-CN"/>
              </w:rPr>
              <w:t>。</w:t>
            </w:r>
          </w:p>
          <w:p>
            <w:pPr>
              <w:tabs>
                <w:tab w:val="left" w:pos="426"/>
              </w:tabs>
              <w:adjustRightInd w:val="0"/>
              <w:snapToGrid w:val="0"/>
              <w:spacing w:line="240" w:lineRule="auto"/>
              <w:jc w:val="both"/>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评分依据：</w:t>
            </w:r>
          </w:p>
          <w:p>
            <w:pPr>
              <w:pStyle w:val="9"/>
              <w:tabs>
                <w:tab w:val="left" w:pos="426"/>
              </w:tabs>
              <w:spacing w:line="240" w:lineRule="auto"/>
              <w:jc w:val="both"/>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投标人为团队成员缴纳的自2022年</w:t>
            </w:r>
            <w:r>
              <w:rPr>
                <w:rFonts w:hint="default" w:ascii="Times New Roman" w:hAnsi="Times New Roman" w:cs="Times New Roman"/>
                <w:color w:val="auto"/>
                <w:sz w:val="21"/>
                <w:szCs w:val="21"/>
                <w:lang w:val="en-US" w:eastAsia="zh-CN"/>
              </w:rPr>
              <w:t>9</w:t>
            </w:r>
            <w:r>
              <w:rPr>
                <w:rFonts w:hint="default" w:ascii="Times New Roman" w:hAnsi="Times New Roman" w:cs="Times New Roman"/>
                <w:color w:val="auto"/>
                <w:sz w:val="21"/>
                <w:szCs w:val="21"/>
              </w:rPr>
              <w:t>月-2022年</w:t>
            </w:r>
            <w:r>
              <w:rPr>
                <w:rFonts w:hint="default" w:ascii="Times New Roman" w:hAnsi="Times New Roman" w:cs="Times New Roman"/>
                <w:color w:val="auto"/>
                <w:sz w:val="21"/>
                <w:szCs w:val="21"/>
                <w:lang w:val="en-US" w:eastAsia="zh-CN"/>
              </w:rPr>
              <w:t>11</w:t>
            </w:r>
            <w:r>
              <w:rPr>
                <w:rFonts w:hint="default" w:ascii="Times New Roman" w:hAnsi="Times New Roman" w:cs="Times New Roman"/>
                <w:color w:val="auto"/>
                <w:sz w:val="21"/>
                <w:szCs w:val="21"/>
              </w:rPr>
              <w:t>月加盖社保部门公章的社保证明（社保不中断，如投标截止日上一个月的社保证明因社保部门原因暂时无法取得，则可往前顺延一个月）；</w:t>
            </w:r>
          </w:p>
          <w:p>
            <w:pPr>
              <w:pStyle w:val="9"/>
              <w:tabs>
                <w:tab w:val="left" w:pos="426"/>
              </w:tabs>
              <w:spacing w:line="240" w:lineRule="auto"/>
              <w:jc w:val="both"/>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团队成员</w:t>
            </w:r>
            <w:r>
              <w:rPr>
                <w:rFonts w:hint="default" w:ascii="Times New Roman" w:hAnsi="Times New Roman" w:cs="Times New Roman"/>
                <w:color w:val="auto"/>
                <w:sz w:val="21"/>
                <w:szCs w:val="21"/>
                <w:lang w:val="en-US" w:eastAsia="zh-CN"/>
              </w:rPr>
              <w:t>的学历</w:t>
            </w:r>
            <w:r>
              <w:rPr>
                <w:rFonts w:hint="default" w:ascii="Times New Roman" w:hAnsi="Times New Roman" w:cs="Times New Roman"/>
                <w:color w:val="auto"/>
                <w:sz w:val="21"/>
                <w:szCs w:val="21"/>
              </w:rPr>
              <w:t>证书</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所涉及的资格证书扫描件。</w:t>
            </w:r>
          </w:p>
          <w:p>
            <w:pPr>
              <w:pStyle w:val="9"/>
              <w:tabs>
                <w:tab w:val="left" w:pos="426"/>
              </w:tabs>
              <w:spacing w:line="240" w:lineRule="auto"/>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rPr>
              <w:t>以上证明文件原件备查，未提供有效证明文件的或者提供的证明文件不符合要求的或者提供的证明文件不清晰导致评审专家无法辨认的，不得分。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56" w:type="pct"/>
            <w:vMerge w:val="restart"/>
            <w:tcBorders>
              <w:top w:val="single" w:color="000000" w:sz="8" w:space="0"/>
              <w:left w:val="single" w:color="000000" w:sz="8" w:space="0"/>
              <w:right w:val="single" w:color="000000" w:sz="8" w:space="0"/>
            </w:tcBorders>
            <w:vAlign w:val="center"/>
          </w:tcPr>
          <w:p>
            <w:pPr>
              <w:tabs>
                <w:tab w:val="left" w:pos="426"/>
              </w:tabs>
              <w:wordWrap w:val="0"/>
              <w:spacing w:after="60"/>
              <w:jc w:val="center"/>
              <w:rPr>
                <w:rFonts w:hint="default" w:ascii="Times New Roman" w:hAnsi="Times New Roman" w:eastAsia="宋体" w:cs="Times New Roman"/>
                <w:b/>
                <w:bCs/>
                <w:color w:val="auto"/>
                <w:szCs w:val="21"/>
                <w:highlight w:val="none"/>
                <w:lang w:eastAsia="zh-CN"/>
              </w:rPr>
            </w:pPr>
            <w:r>
              <w:rPr>
                <w:rFonts w:hint="default" w:ascii="Times New Roman" w:hAnsi="Times New Roman" w:cs="Times New Roman"/>
                <w:b/>
                <w:bCs/>
                <w:color w:val="auto"/>
                <w:szCs w:val="21"/>
                <w:highlight w:val="none"/>
                <w:lang w:val="en-US" w:eastAsia="zh-CN"/>
              </w:rPr>
              <w:t>3</w:t>
            </w:r>
          </w:p>
        </w:tc>
        <w:tc>
          <w:tcPr>
            <w:tcW w:w="1945" w:type="pct"/>
            <w:gridSpan w:val="3"/>
            <w:tcBorders>
              <w:top w:val="single" w:color="000000" w:sz="8" w:space="0"/>
              <w:left w:val="single" w:color="000000" w:sz="8" w:space="0"/>
              <w:bottom w:val="single" w:color="000000" w:sz="8" w:space="0"/>
              <w:right w:val="single" w:color="000000" w:sz="8" w:space="0"/>
            </w:tcBorders>
            <w:vAlign w:val="center"/>
          </w:tcPr>
          <w:p>
            <w:pPr>
              <w:tabs>
                <w:tab w:val="left" w:pos="426"/>
              </w:tabs>
              <w:wordWrap w:val="0"/>
              <w:spacing w:after="6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商务部分</w:t>
            </w:r>
          </w:p>
        </w:tc>
        <w:tc>
          <w:tcPr>
            <w:tcW w:w="2697" w:type="pct"/>
            <w:tcBorders>
              <w:top w:val="single" w:color="000000" w:sz="8" w:space="0"/>
              <w:left w:val="single" w:color="000000" w:sz="8" w:space="0"/>
              <w:bottom w:val="single" w:color="000000" w:sz="8" w:space="0"/>
              <w:right w:val="single" w:color="000000" w:sz="8" w:space="0"/>
            </w:tcBorders>
          </w:tcPr>
          <w:p>
            <w:pPr>
              <w:tabs>
                <w:tab w:val="left" w:pos="426"/>
              </w:tabs>
              <w:wordWrap w:val="0"/>
              <w:spacing w:after="60"/>
              <w:jc w:val="center"/>
              <w:rPr>
                <w:rFonts w:hint="default" w:ascii="Times New Roman" w:hAnsi="Times New Roman" w:eastAsia="宋体" w:cs="Times New Roman"/>
                <w:b/>
                <w:bCs/>
                <w:color w:val="auto"/>
                <w:szCs w:val="21"/>
                <w:highlight w:val="none"/>
                <w:lang w:val="en-US" w:eastAsia="zh-CN"/>
              </w:rPr>
            </w:pPr>
            <w:r>
              <w:rPr>
                <w:rFonts w:hint="default" w:ascii="Times New Roman" w:hAnsi="Times New Roman" w:cs="Times New Roman"/>
                <w:b/>
                <w:bCs/>
                <w:color w:val="auto"/>
                <w:szCs w:val="21"/>
                <w:highlight w:val="none"/>
                <w:lang w:val="en-US" w:eastAsia="zh-CN"/>
              </w:rPr>
              <w:t>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56" w:type="pct"/>
            <w:vMerge w:val="continue"/>
            <w:tcBorders>
              <w:left w:val="single" w:color="000000" w:sz="8" w:space="0"/>
              <w:right w:val="single" w:color="000000" w:sz="8" w:space="0"/>
            </w:tcBorders>
            <w:shd w:val="clear" w:color="auto" w:fill="E6EFFA"/>
            <w:vAlign w:val="center"/>
          </w:tcPr>
          <w:p>
            <w:pPr>
              <w:tabs>
                <w:tab w:val="left" w:pos="426"/>
              </w:tabs>
              <w:spacing w:after="60"/>
              <w:rPr>
                <w:rFonts w:hint="default" w:ascii="Times New Roman" w:hAnsi="Times New Roman" w:cs="Times New Roman"/>
                <w:b/>
                <w:bCs/>
                <w:color w:val="auto"/>
                <w:szCs w:val="21"/>
                <w:highlight w:val="none"/>
              </w:rPr>
            </w:pPr>
          </w:p>
        </w:tc>
        <w:tc>
          <w:tcPr>
            <w:tcW w:w="359" w:type="pct"/>
            <w:tcBorders>
              <w:top w:val="outset" w:color="000000" w:sz="6" w:space="0"/>
              <w:left w:val="outset" w:color="000000" w:sz="6" w:space="0"/>
              <w:bottom w:val="outset" w:color="000000" w:sz="6" w:space="0"/>
              <w:right w:val="outset" w:color="000000" w:sz="6" w:space="0"/>
            </w:tcBorders>
            <w:shd w:val="clear" w:color="auto" w:fill="auto"/>
            <w:vAlign w:val="center"/>
          </w:tcPr>
          <w:p>
            <w:pPr>
              <w:tabs>
                <w:tab w:val="left" w:pos="426"/>
              </w:tabs>
              <w:wordWrap w:val="0"/>
              <w:spacing w:after="6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900" w:type="pct"/>
            <w:tcBorders>
              <w:top w:val="outset" w:color="000000" w:sz="6" w:space="0"/>
              <w:left w:val="outset" w:color="000000" w:sz="6" w:space="0"/>
              <w:bottom w:val="outset" w:color="000000" w:sz="6" w:space="0"/>
              <w:right w:val="outset" w:color="000000" w:sz="6" w:space="0"/>
            </w:tcBorders>
            <w:shd w:val="clear" w:color="auto" w:fill="auto"/>
            <w:vAlign w:val="center"/>
          </w:tcPr>
          <w:p>
            <w:pPr>
              <w:tabs>
                <w:tab w:val="left" w:pos="426"/>
              </w:tabs>
              <w:wordWrap w:val="0"/>
              <w:spacing w:after="6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评分因素</w:t>
            </w:r>
          </w:p>
        </w:tc>
        <w:tc>
          <w:tcPr>
            <w:tcW w:w="685" w:type="pct"/>
            <w:tcBorders>
              <w:top w:val="outset" w:color="000000" w:sz="6" w:space="0"/>
              <w:left w:val="outset" w:color="000000" w:sz="6" w:space="0"/>
              <w:bottom w:val="outset" w:color="000000" w:sz="6" w:space="0"/>
              <w:right w:val="outset" w:color="000000" w:sz="6" w:space="0"/>
            </w:tcBorders>
            <w:shd w:val="clear" w:color="auto" w:fill="auto"/>
            <w:vAlign w:val="center"/>
          </w:tcPr>
          <w:p>
            <w:pPr>
              <w:tabs>
                <w:tab w:val="left" w:pos="426"/>
              </w:tabs>
              <w:wordWrap w:val="0"/>
              <w:spacing w:after="6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权重</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w:t>
            </w:r>
          </w:p>
        </w:tc>
        <w:tc>
          <w:tcPr>
            <w:tcW w:w="2697" w:type="pct"/>
            <w:tcBorders>
              <w:top w:val="outset" w:color="000000" w:sz="6" w:space="0"/>
              <w:left w:val="outset" w:color="000000" w:sz="6" w:space="0"/>
              <w:bottom w:val="outset" w:color="000000" w:sz="6" w:space="0"/>
              <w:right w:val="outset" w:color="000000" w:sz="6" w:space="0"/>
            </w:tcBorders>
            <w:shd w:val="clear" w:color="auto" w:fill="auto"/>
            <w:vAlign w:val="center"/>
          </w:tcPr>
          <w:p>
            <w:pPr>
              <w:tabs>
                <w:tab w:val="left" w:pos="426"/>
              </w:tabs>
              <w:wordWrap w:val="0"/>
              <w:spacing w:after="6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699" w:hRule="atLeast"/>
          <w:jc w:val="center"/>
        </w:trPr>
        <w:tc>
          <w:tcPr>
            <w:tcW w:w="356" w:type="pct"/>
            <w:vMerge w:val="continue"/>
            <w:tcBorders>
              <w:left w:val="single" w:color="000000" w:sz="8" w:space="0"/>
              <w:right w:val="single" w:color="000000" w:sz="8" w:space="0"/>
            </w:tcBorders>
            <w:vAlign w:val="center"/>
          </w:tcPr>
          <w:p>
            <w:pPr>
              <w:tabs>
                <w:tab w:val="left" w:pos="426"/>
              </w:tabs>
              <w:spacing w:after="60"/>
              <w:rPr>
                <w:rFonts w:hint="default" w:ascii="Times New Roman" w:hAnsi="Times New Roman" w:cs="Times New Roman"/>
                <w:b/>
                <w:bCs/>
                <w:color w:val="auto"/>
                <w:szCs w:val="21"/>
                <w:highlight w:val="none"/>
              </w:rPr>
            </w:pPr>
          </w:p>
        </w:tc>
        <w:tc>
          <w:tcPr>
            <w:tcW w:w="359" w:type="pct"/>
            <w:tcBorders>
              <w:top w:val="single" w:color="000000" w:sz="8" w:space="0"/>
              <w:left w:val="single" w:color="000000" w:sz="8" w:space="0"/>
              <w:bottom w:val="single" w:color="000000" w:sz="8" w:space="0"/>
              <w:right w:val="single" w:color="000000" w:sz="8" w:space="0"/>
            </w:tcBorders>
            <w:vAlign w:val="center"/>
          </w:tcPr>
          <w:p>
            <w:pPr>
              <w:tabs>
                <w:tab w:val="left" w:pos="426"/>
              </w:tabs>
              <w:wordWrap w:val="0"/>
              <w:spacing w:after="6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900" w:type="pct"/>
            <w:tcBorders>
              <w:top w:val="single" w:color="000000" w:sz="8" w:space="0"/>
              <w:left w:val="single" w:color="000000" w:sz="8" w:space="0"/>
              <w:bottom w:val="single" w:color="000000" w:sz="8" w:space="0"/>
              <w:right w:val="single" w:color="000000" w:sz="8" w:space="0"/>
            </w:tcBorders>
            <w:vAlign w:val="center"/>
          </w:tcPr>
          <w:p>
            <w:pPr>
              <w:tabs>
                <w:tab w:val="left" w:pos="426"/>
              </w:tabs>
              <w:wordWrap w:val="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bCs/>
                <w:szCs w:val="21"/>
              </w:rPr>
              <w:t>投标人经验评价</w:t>
            </w:r>
          </w:p>
        </w:tc>
        <w:tc>
          <w:tcPr>
            <w:tcW w:w="685" w:type="pct"/>
            <w:tcBorders>
              <w:top w:val="single" w:color="000000" w:sz="8" w:space="0"/>
              <w:left w:val="single" w:color="000000" w:sz="8" w:space="0"/>
              <w:bottom w:val="single" w:color="000000" w:sz="8" w:space="0"/>
              <w:right w:val="single" w:color="000000" w:sz="8" w:space="0"/>
            </w:tcBorders>
            <w:vAlign w:val="center"/>
          </w:tcPr>
          <w:p>
            <w:pPr>
              <w:tabs>
                <w:tab w:val="left" w:pos="426"/>
              </w:tabs>
              <w:wordWrap w:val="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szCs w:val="21"/>
              </w:rPr>
              <w:t>12</w:t>
            </w:r>
          </w:p>
        </w:tc>
        <w:tc>
          <w:tcPr>
            <w:tcW w:w="2697" w:type="pct"/>
            <w:tcBorders>
              <w:top w:val="single" w:color="000000" w:sz="8" w:space="0"/>
              <w:left w:val="single" w:color="000000" w:sz="8" w:space="0"/>
              <w:bottom w:val="single" w:color="000000" w:sz="8" w:space="0"/>
              <w:right w:val="single" w:color="000000" w:sz="8" w:space="0"/>
            </w:tcBorders>
            <w:vAlign w:val="top"/>
          </w:tcPr>
          <w:p>
            <w:pPr>
              <w:widowControl/>
              <w:tabs>
                <w:tab w:val="left" w:pos="426"/>
              </w:tabs>
              <w:spacing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评分内容：</w:t>
            </w:r>
          </w:p>
          <w:p>
            <w:pPr>
              <w:widowControl/>
              <w:tabs>
                <w:tab w:val="left" w:pos="426"/>
              </w:tabs>
              <w:spacing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highlight w:val="none"/>
              </w:rPr>
              <w:t>2020年1月1日</w:t>
            </w:r>
            <w:r>
              <w:rPr>
                <w:rFonts w:hint="default" w:ascii="Times New Roman" w:hAnsi="Times New Roman" w:eastAsia="宋体" w:cs="Times New Roman"/>
                <w:sz w:val="21"/>
                <w:szCs w:val="21"/>
              </w:rPr>
              <w:t>以后（以合同履约期为准），投标人具有</w:t>
            </w:r>
            <w:r>
              <w:rPr>
                <w:rFonts w:hint="default" w:ascii="Times New Roman" w:hAnsi="Times New Roman" w:eastAsia="宋体" w:cs="Times New Roman"/>
                <w:sz w:val="21"/>
                <w:szCs w:val="21"/>
                <w:lang w:val="en-US" w:eastAsia="zh-CN"/>
              </w:rPr>
              <w:t>行政事业单位人力资源服务经验</w:t>
            </w:r>
            <w:r>
              <w:rPr>
                <w:rFonts w:hint="default" w:ascii="Times New Roman" w:hAnsi="Times New Roman" w:eastAsia="宋体" w:cs="Times New Roman"/>
                <w:sz w:val="21"/>
                <w:szCs w:val="21"/>
              </w:rPr>
              <w:t>，每提供一个得</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分，最高得12分。同一项目及续签项目不重复计分。</w:t>
            </w:r>
          </w:p>
          <w:p>
            <w:pPr>
              <w:widowControl/>
              <w:tabs>
                <w:tab w:val="left" w:pos="426"/>
              </w:tabs>
              <w:spacing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评分依据：</w:t>
            </w:r>
          </w:p>
          <w:p>
            <w:pPr>
              <w:widowControl/>
              <w:tabs>
                <w:tab w:val="left" w:pos="426"/>
              </w:tabs>
              <w:spacing w:line="240" w:lineRule="auto"/>
              <w:ind w:firstLine="210" w:firstLineChars="100"/>
              <w:jc w:val="left"/>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sz w:val="21"/>
                <w:szCs w:val="21"/>
              </w:rPr>
              <w:t>提供合同关键页，未按要求提供相关材料或扫描件不清晰导致无法识别的不得分，原件备查。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243" w:hRule="atLeast"/>
          <w:jc w:val="center"/>
        </w:trPr>
        <w:tc>
          <w:tcPr>
            <w:tcW w:w="356" w:type="pct"/>
            <w:vMerge w:val="continue"/>
            <w:tcBorders>
              <w:left w:val="single" w:color="000000" w:sz="8" w:space="0"/>
              <w:right w:val="single" w:color="000000" w:sz="8" w:space="0"/>
            </w:tcBorders>
            <w:vAlign w:val="center"/>
          </w:tcPr>
          <w:p>
            <w:pPr>
              <w:tabs>
                <w:tab w:val="left" w:pos="426"/>
              </w:tabs>
              <w:spacing w:after="60"/>
              <w:rPr>
                <w:rFonts w:hint="default" w:ascii="Times New Roman" w:hAnsi="Times New Roman" w:cs="Times New Roman"/>
                <w:b/>
                <w:bCs/>
                <w:color w:val="auto"/>
                <w:szCs w:val="21"/>
                <w:highlight w:val="none"/>
              </w:rPr>
            </w:pPr>
          </w:p>
        </w:tc>
        <w:tc>
          <w:tcPr>
            <w:tcW w:w="359" w:type="pct"/>
            <w:tcBorders>
              <w:top w:val="single" w:color="000000" w:sz="8" w:space="0"/>
              <w:left w:val="single" w:color="000000" w:sz="8" w:space="0"/>
              <w:bottom w:val="single" w:color="000000" w:sz="8" w:space="0"/>
              <w:right w:val="single" w:color="000000" w:sz="8" w:space="0"/>
            </w:tcBorders>
            <w:vAlign w:val="center"/>
          </w:tcPr>
          <w:p>
            <w:pPr>
              <w:tabs>
                <w:tab w:val="left" w:pos="426"/>
              </w:tabs>
              <w:wordWrap w:val="0"/>
              <w:spacing w:after="6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900" w:type="pct"/>
            <w:tcBorders>
              <w:top w:val="single" w:color="000000" w:sz="8" w:space="0"/>
              <w:left w:val="single" w:color="000000" w:sz="8" w:space="0"/>
              <w:bottom w:val="single" w:color="000000" w:sz="8" w:space="0"/>
              <w:right w:val="single" w:color="000000" w:sz="8" w:space="0"/>
            </w:tcBorders>
            <w:vAlign w:val="center"/>
          </w:tcPr>
          <w:p>
            <w:pPr>
              <w:tabs>
                <w:tab w:val="left" w:pos="426"/>
              </w:tabs>
              <w:spacing w:line="360" w:lineRule="auto"/>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000000"/>
                <w:szCs w:val="21"/>
              </w:rPr>
              <w:t>投标人通过相关认证情况</w:t>
            </w:r>
          </w:p>
        </w:tc>
        <w:tc>
          <w:tcPr>
            <w:tcW w:w="685" w:type="pct"/>
            <w:tcBorders>
              <w:top w:val="single" w:color="000000" w:sz="8" w:space="0"/>
              <w:left w:val="single" w:color="000000" w:sz="8" w:space="0"/>
              <w:bottom w:val="single" w:color="000000" w:sz="8" w:space="0"/>
              <w:right w:val="single" w:color="000000" w:sz="8" w:space="0"/>
            </w:tcBorders>
            <w:vAlign w:val="center"/>
          </w:tcPr>
          <w:p>
            <w:pPr>
              <w:tabs>
                <w:tab w:val="left" w:pos="426"/>
              </w:tabs>
              <w:spacing w:line="360" w:lineRule="auto"/>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000000"/>
                <w:szCs w:val="21"/>
              </w:rPr>
              <w:t>10</w:t>
            </w:r>
          </w:p>
        </w:tc>
        <w:tc>
          <w:tcPr>
            <w:tcW w:w="2697" w:type="pct"/>
            <w:tcBorders>
              <w:top w:val="single" w:color="000000" w:sz="8" w:space="0"/>
              <w:left w:val="single" w:color="000000" w:sz="8" w:space="0"/>
              <w:bottom w:val="single" w:color="000000" w:sz="8" w:space="0"/>
              <w:right w:val="single" w:color="000000" w:sz="8" w:space="0"/>
            </w:tcBorders>
            <w:vAlign w:val="top"/>
          </w:tcPr>
          <w:p>
            <w:pPr>
              <w:keepNext w:val="0"/>
              <w:keepLines w:val="0"/>
              <w:pageBreakBefore w:val="0"/>
              <w:widowControl w:val="0"/>
              <w:tabs>
                <w:tab w:val="left" w:pos="426"/>
              </w:tabs>
              <w:kinsoku/>
              <w:overflowPunct/>
              <w:topLinePunct w:val="0"/>
              <w:autoSpaceDE/>
              <w:autoSpaceDN/>
              <w:bidi w:val="0"/>
              <w:adjustRightInd w:val="0"/>
              <w:snapToGrid w:val="0"/>
              <w:spacing w:line="240" w:lineRule="atLeast"/>
              <w:jc w:val="left"/>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评分内容：</w:t>
            </w:r>
          </w:p>
          <w:p>
            <w:pPr>
              <w:keepNext w:val="0"/>
              <w:keepLines w:val="0"/>
              <w:pageBreakBefore w:val="0"/>
              <w:widowControl w:val="0"/>
              <w:tabs>
                <w:tab w:val="left" w:pos="426"/>
              </w:tabs>
              <w:kinsoku/>
              <w:overflowPunct/>
              <w:topLinePunct w:val="0"/>
              <w:autoSpaceDE/>
              <w:autoSpaceDN/>
              <w:bidi w:val="0"/>
              <w:adjustRightInd w:val="0"/>
              <w:snapToGrid w:val="0"/>
              <w:spacing w:line="240" w:lineRule="atLeast"/>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投标人具有</w:t>
            </w:r>
            <w:r>
              <w:rPr>
                <w:rFonts w:hint="eastAsia" w:ascii="Times New Roman" w:hAnsi="Times New Roman" w:eastAsia="宋体" w:cs="Times New Roman"/>
                <w:color w:val="auto"/>
                <w:sz w:val="21"/>
                <w:szCs w:val="21"/>
                <w:lang w:val="en-US" w:eastAsia="zh-CN"/>
              </w:rPr>
              <w:t>的相关认证证书，包括但不限于</w:t>
            </w:r>
            <w:r>
              <w:rPr>
                <w:rFonts w:hint="default" w:ascii="Times New Roman" w:hAnsi="Times New Roman" w:eastAsia="宋体" w:cs="Times New Roman"/>
                <w:color w:val="auto"/>
                <w:sz w:val="21"/>
                <w:szCs w:val="21"/>
                <w:lang w:val="en-US" w:eastAsia="zh-CN"/>
              </w:rPr>
              <w:t>质量管理体系认证；职业健康安全管理体系认证；环境管理体系认证证书；社会责任体系认证证书；信息安全管理体系认证证书</w:t>
            </w:r>
            <w:r>
              <w:rPr>
                <w:rFonts w:hint="eastAsia" w:ascii="Times New Roman" w:hAnsi="Times New Roman" w:eastAsia="宋体" w:cs="Times New Roman"/>
                <w:color w:val="auto"/>
                <w:sz w:val="21"/>
                <w:szCs w:val="21"/>
                <w:lang w:val="en-US" w:eastAsia="zh-CN"/>
              </w:rPr>
              <w:t>等相关认证</w:t>
            </w:r>
            <w:r>
              <w:rPr>
                <w:rFonts w:hint="default" w:ascii="Times New Roman" w:hAnsi="Times New Roman" w:eastAsia="宋体" w:cs="Times New Roman"/>
                <w:color w:val="auto"/>
                <w:sz w:val="21"/>
                <w:szCs w:val="21"/>
                <w:lang w:val="en-US" w:eastAsia="zh-CN"/>
              </w:rPr>
              <w:t>。</w:t>
            </w:r>
          </w:p>
          <w:p>
            <w:pPr>
              <w:keepNext w:val="0"/>
              <w:keepLines w:val="0"/>
              <w:pageBreakBefore w:val="0"/>
              <w:widowControl w:val="0"/>
              <w:tabs>
                <w:tab w:val="left" w:pos="426"/>
              </w:tabs>
              <w:kinsoku/>
              <w:overflowPunct/>
              <w:topLinePunct w:val="0"/>
              <w:autoSpaceDE/>
              <w:autoSpaceDN/>
              <w:bidi w:val="0"/>
              <w:adjustRightInd w:val="0"/>
              <w:snapToGrid w:val="0"/>
              <w:spacing w:line="240" w:lineRule="atLeast"/>
              <w:jc w:val="left"/>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评分依据：</w:t>
            </w:r>
          </w:p>
          <w:p>
            <w:pPr>
              <w:keepNext w:val="0"/>
              <w:keepLines w:val="0"/>
              <w:pageBreakBefore w:val="0"/>
              <w:widowControl w:val="0"/>
              <w:tabs>
                <w:tab w:val="left" w:pos="426"/>
              </w:tabs>
              <w:kinsoku/>
              <w:wordWrap w:val="0"/>
              <w:overflowPunct/>
              <w:topLinePunct w:val="0"/>
              <w:autoSpaceDE/>
              <w:autoSpaceDN/>
              <w:bidi w:val="0"/>
              <w:spacing w:line="240" w:lineRule="atLeas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提供有效期内的体系认证证书扫描件（如证书标明需年度审核的，需有已年审标志）及在全国认证认可信息公共服务平台或相关证书网站查询有效的截图，</w:t>
            </w:r>
            <w:r>
              <w:rPr>
                <w:rFonts w:hint="default" w:ascii="Times New Roman" w:hAnsi="Times New Roman" w:cs="Times New Roman"/>
                <w:sz w:val="21"/>
                <w:szCs w:val="21"/>
                <w:lang w:val="en-US" w:eastAsia="zh-CN"/>
              </w:rPr>
              <w:t>每提供一个证书，得</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分，最高得10分</w:t>
            </w:r>
            <w:r>
              <w:rPr>
                <w:rFonts w:hint="default" w:ascii="Times New Roman" w:hAnsi="Times New Roman" w:eastAsia="宋体" w:cs="Times New Roman"/>
                <w:sz w:val="21"/>
                <w:szCs w:val="21"/>
              </w:rPr>
              <w:t>。</w:t>
            </w:r>
          </w:p>
          <w:p>
            <w:pPr>
              <w:keepNext w:val="0"/>
              <w:keepLines w:val="0"/>
              <w:pageBreakBefore w:val="0"/>
              <w:widowControl w:val="0"/>
              <w:tabs>
                <w:tab w:val="left" w:pos="426"/>
              </w:tabs>
              <w:kinsoku/>
              <w:wordWrap w:val="0"/>
              <w:overflowPunct/>
              <w:topLinePunct w:val="0"/>
              <w:autoSpaceDE/>
              <w:autoSpaceDN/>
              <w:bidi w:val="0"/>
              <w:spacing w:line="240" w:lineRule="atLeas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sz w:val="21"/>
                <w:szCs w:val="21"/>
              </w:rPr>
              <w:t>未按要求提供相关材料或无法凭所提供资料判断是否得分的或证明材料不清晰导致无法识别的，均不得相应分数。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56" w:type="pct"/>
            <w:vMerge w:val="continue"/>
            <w:tcBorders>
              <w:left w:val="single" w:color="000000" w:sz="8" w:space="0"/>
              <w:right w:val="single" w:color="000000" w:sz="8" w:space="0"/>
            </w:tcBorders>
            <w:vAlign w:val="center"/>
          </w:tcPr>
          <w:p>
            <w:pPr>
              <w:tabs>
                <w:tab w:val="left" w:pos="426"/>
              </w:tabs>
              <w:spacing w:after="60"/>
              <w:rPr>
                <w:rFonts w:hint="default" w:ascii="Times New Roman" w:hAnsi="Times New Roman" w:cs="Times New Roman"/>
                <w:b/>
                <w:bCs/>
                <w:color w:val="auto"/>
                <w:szCs w:val="21"/>
                <w:highlight w:val="none"/>
              </w:rPr>
            </w:pPr>
          </w:p>
        </w:tc>
        <w:tc>
          <w:tcPr>
            <w:tcW w:w="359" w:type="pct"/>
            <w:tcBorders>
              <w:top w:val="single" w:color="000000" w:sz="8" w:space="0"/>
              <w:left w:val="single" w:color="000000" w:sz="8" w:space="0"/>
              <w:bottom w:val="single" w:color="000000" w:sz="8" w:space="0"/>
              <w:right w:val="single" w:color="000000" w:sz="8" w:space="0"/>
            </w:tcBorders>
            <w:vAlign w:val="center"/>
          </w:tcPr>
          <w:p>
            <w:pPr>
              <w:tabs>
                <w:tab w:val="left" w:pos="426"/>
              </w:tabs>
              <w:wordWrap w:val="0"/>
              <w:spacing w:after="6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3</w:t>
            </w:r>
          </w:p>
        </w:tc>
        <w:tc>
          <w:tcPr>
            <w:tcW w:w="900" w:type="pct"/>
            <w:tcBorders>
              <w:top w:val="single" w:color="000000" w:sz="8" w:space="0"/>
              <w:left w:val="single" w:color="000000" w:sz="8" w:space="0"/>
              <w:bottom w:val="single" w:color="000000" w:sz="8" w:space="0"/>
              <w:right w:val="single" w:color="000000" w:sz="8" w:space="0"/>
            </w:tcBorders>
            <w:vAlign w:val="center"/>
          </w:tcPr>
          <w:p>
            <w:pPr>
              <w:tabs>
                <w:tab w:val="left" w:pos="426"/>
              </w:tabs>
              <w:spacing w:line="320" w:lineRule="exact"/>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000000"/>
                <w:kern w:val="0"/>
                <w:szCs w:val="21"/>
              </w:rPr>
              <w:t>投标人获奖情况</w:t>
            </w:r>
          </w:p>
        </w:tc>
        <w:tc>
          <w:tcPr>
            <w:tcW w:w="685" w:type="pct"/>
            <w:tcBorders>
              <w:top w:val="single" w:color="000000" w:sz="8" w:space="0"/>
              <w:left w:val="single" w:color="000000" w:sz="8" w:space="0"/>
              <w:bottom w:val="single" w:color="000000" w:sz="8" w:space="0"/>
              <w:right w:val="single" w:color="000000" w:sz="8" w:space="0"/>
            </w:tcBorders>
            <w:vAlign w:val="center"/>
          </w:tcPr>
          <w:p>
            <w:pPr>
              <w:tabs>
                <w:tab w:val="left" w:pos="426"/>
              </w:tabs>
              <w:spacing w:line="320" w:lineRule="exact"/>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4</w:t>
            </w:r>
          </w:p>
        </w:tc>
        <w:tc>
          <w:tcPr>
            <w:tcW w:w="2697"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tabs>
                <w:tab w:val="left" w:pos="426"/>
              </w:tabs>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评分内容：</w:t>
            </w:r>
          </w:p>
          <w:p>
            <w:pPr>
              <w:keepNext w:val="0"/>
              <w:keepLines w:val="0"/>
              <w:pageBreakBefore w:val="0"/>
              <w:tabs>
                <w:tab w:val="left" w:pos="426"/>
              </w:tabs>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宋体" w:cs="Times New Roman"/>
                <w:color w:val="000000"/>
                <w:kern w:val="0"/>
                <w:sz w:val="21"/>
                <w:szCs w:val="21"/>
                <w:lang w:val="zh-CN"/>
              </w:rPr>
            </w:pPr>
            <w:r>
              <w:rPr>
                <w:rFonts w:hint="default" w:ascii="Times New Roman" w:hAnsi="Times New Roman" w:eastAsia="宋体" w:cs="Times New Roman"/>
                <w:color w:val="000000"/>
                <w:kern w:val="0"/>
                <w:sz w:val="21"/>
                <w:szCs w:val="21"/>
                <w:lang w:val="zh-CN"/>
              </w:rPr>
              <w:t>投标人获得过政府部门颁发的荣誉或奖项的：提供省级及以上政府部门颁发的奖项得</w:t>
            </w:r>
            <w:r>
              <w:rPr>
                <w:rFonts w:hint="default" w:ascii="Times New Roman" w:hAnsi="Times New Roman" w:eastAsia="宋体" w:cs="Times New Roman"/>
                <w:color w:val="000000"/>
                <w:kern w:val="0"/>
                <w:sz w:val="21"/>
                <w:szCs w:val="21"/>
                <w:lang w:val="en-US" w:eastAsia="zh-CN"/>
              </w:rPr>
              <w:t>4</w:t>
            </w:r>
            <w:r>
              <w:rPr>
                <w:rFonts w:hint="default" w:ascii="Times New Roman" w:hAnsi="Times New Roman" w:eastAsia="宋体" w:cs="Times New Roman"/>
                <w:color w:val="000000"/>
                <w:kern w:val="0"/>
                <w:sz w:val="21"/>
                <w:szCs w:val="21"/>
                <w:lang w:val="zh-CN"/>
              </w:rPr>
              <w:t>分，提供地（市）级及以下政府部门颁发的奖项得</w:t>
            </w:r>
            <w:r>
              <w:rPr>
                <w:rFonts w:hint="default" w:ascii="Times New Roman" w:hAnsi="Times New Roman" w:eastAsia="宋体" w:cs="Times New Roman"/>
                <w:color w:val="000000"/>
                <w:kern w:val="0"/>
                <w:sz w:val="21"/>
                <w:szCs w:val="21"/>
                <w:lang w:val="en-US" w:eastAsia="zh-CN"/>
              </w:rPr>
              <w:t>2</w:t>
            </w:r>
            <w:r>
              <w:rPr>
                <w:rFonts w:hint="default" w:ascii="Times New Roman" w:hAnsi="Times New Roman" w:eastAsia="宋体" w:cs="Times New Roman"/>
                <w:color w:val="000000"/>
                <w:kern w:val="0"/>
                <w:sz w:val="21"/>
                <w:szCs w:val="21"/>
                <w:lang w:val="zh-CN"/>
              </w:rPr>
              <w:t>分。</w:t>
            </w:r>
          </w:p>
          <w:p>
            <w:pPr>
              <w:keepNext w:val="0"/>
              <w:keepLines w:val="0"/>
              <w:pageBreakBefore w:val="0"/>
              <w:tabs>
                <w:tab w:val="left" w:pos="426"/>
              </w:tabs>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评分依据：</w:t>
            </w:r>
          </w:p>
          <w:p>
            <w:pPr>
              <w:pStyle w:val="10"/>
              <w:keepNext w:val="0"/>
              <w:keepLines w:val="0"/>
              <w:pageBreakBefore w:val="0"/>
              <w:tabs>
                <w:tab w:val="left" w:pos="426"/>
              </w:tabs>
              <w:kinsoku/>
              <w:wordWrap/>
              <w:overflowPunct/>
              <w:topLinePunct w:val="0"/>
              <w:autoSpaceDE/>
              <w:autoSpaceDN/>
              <w:bidi w:val="0"/>
              <w:spacing w:line="240" w:lineRule="atLeas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sz w:val="21"/>
                <w:szCs w:val="21"/>
              </w:rPr>
              <w:t>提供相关证明材料扫描件，原件备查。如未按要求提供证明材料，或所提供的证明材料未能体现上述评分内容的，视为该证明材料无效。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56" w:type="pct"/>
            <w:vMerge w:val="continue"/>
            <w:tcBorders>
              <w:left w:val="single" w:color="000000" w:sz="8" w:space="0"/>
              <w:right w:val="single" w:color="000000" w:sz="8" w:space="0"/>
            </w:tcBorders>
            <w:vAlign w:val="center"/>
          </w:tcPr>
          <w:p>
            <w:pPr>
              <w:tabs>
                <w:tab w:val="left" w:pos="426"/>
              </w:tabs>
              <w:spacing w:after="60"/>
              <w:rPr>
                <w:rFonts w:hint="default" w:ascii="Times New Roman" w:hAnsi="Times New Roman" w:cs="Times New Roman"/>
                <w:b/>
                <w:bCs/>
                <w:color w:val="auto"/>
                <w:szCs w:val="21"/>
                <w:highlight w:val="none"/>
              </w:rPr>
            </w:pPr>
          </w:p>
        </w:tc>
        <w:tc>
          <w:tcPr>
            <w:tcW w:w="359" w:type="pct"/>
            <w:tcBorders>
              <w:top w:val="single" w:color="000000" w:sz="8" w:space="0"/>
              <w:left w:val="single" w:color="000000" w:sz="8" w:space="0"/>
              <w:bottom w:val="single" w:color="000000" w:sz="8" w:space="0"/>
              <w:right w:val="single" w:color="000000" w:sz="8" w:space="0"/>
            </w:tcBorders>
            <w:vAlign w:val="center"/>
          </w:tcPr>
          <w:p>
            <w:pPr>
              <w:tabs>
                <w:tab w:val="left" w:pos="426"/>
              </w:tabs>
              <w:wordWrap w:val="0"/>
              <w:spacing w:after="6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4</w:t>
            </w:r>
          </w:p>
        </w:tc>
        <w:tc>
          <w:tcPr>
            <w:tcW w:w="900" w:type="pct"/>
            <w:tcBorders>
              <w:top w:val="single" w:color="000000" w:sz="8" w:space="0"/>
              <w:left w:val="single" w:color="000000" w:sz="8" w:space="0"/>
              <w:bottom w:val="single" w:color="000000" w:sz="8" w:space="0"/>
              <w:right w:val="single" w:color="000000" w:sz="8" w:space="0"/>
            </w:tcBorders>
            <w:vAlign w:val="center"/>
          </w:tcPr>
          <w:p>
            <w:pPr>
              <w:tabs>
                <w:tab w:val="left" w:pos="426"/>
              </w:tabs>
              <w:snapToGrid w:val="0"/>
              <w:spacing w:line="320" w:lineRule="exact"/>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szCs w:val="21"/>
              </w:rPr>
              <w:t>企业信息化建设</w:t>
            </w:r>
          </w:p>
        </w:tc>
        <w:tc>
          <w:tcPr>
            <w:tcW w:w="685"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tabs>
                <w:tab w:val="left" w:pos="426"/>
              </w:tabs>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宋体" w:cs="Times New Roman"/>
                <w:color w:val="auto"/>
                <w:szCs w:val="21"/>
                <w:highlight w:val="none"/>
                <w:lang w:val="en-US" w:eastAsia="zh-CN" w:bidi="ar"/>
              </w:rPr>
            </w:pPr>
            <w:r>
              <w:rPr>
                <w:rFonts w:hint="eastAsia" w:ascii="Times New Roman" w:hAnsi="Times New Roman" w:cs="Times New Roman"/>
                <w:color w:val="auto"/>
                <w:szCs w:val="21"/>
                <w:highlight w:val="none"/>
                <w:lang w:val="en-US" w:eastAsia="zh-CN" w:bidi="ar"/>
              </w:rPr>
              <w:t>9</w:t>
            </w:r>
          </w:p>
        </w:tc>
        <w:tc>
          <w:tcPr>
            <w:tcW w:w="2697" w:type="pct"/>
            <w:tcBorders>
              <w:top w:val="single" w:color="000000" w:sz="8" w:space="0"/>
              <w:left w:val="single" w:color="000000" w:sz="8" w:space="0"/>
              <w:bottom w:val="single" w:color="000000" w:sz="8" w:space="0"/>
              <w:right w:val="single" w:color="000000" w:sz="8" w:space="0"/>
            </w:tcBorders>
            <w:vAlign w:val="top"/>
          </w:tcPr>
          <w:p>
            <w:pPr>
              <w:keepNext w:val="0"/>
              <w:keepLines w:val="0"/>
              <w:pageBreakBefore w:val="0"/>
              <w:tabs>
                <w:tab w:val="left" w:pos="426"/>
              </w:tabs>
              <w:kinsoku/>
              <w:wordWrap/>
              <w:overflowPunct/>
              <w:topLinePunct w:val="0"/>
              <w:autoSpaceDE/>
              <w:autoSpaceDN/>
              <w:bidi w:val="0"/>
              <w:adjustRightInd w:val="0"/>
              <w:snapToGrid w:val="0"/>
              <w:spacing w:line="240" w:lineRule="atLeast"/>
              <w:textAlignment w:val="auto"/>
              <w:rPr>
                <w:rFonts w:hint="default" w:ascii="Times New Roman" w:hAnsi="Times New Roman" w:cs="Times New Roman"/>
                <w:b/>
                <w:color w:val="000000"/>
                <w:szCs w:val="21"/>
                <w:highlight w:val="none"/>
              </w:rPr>
            </w:pPr>
            <w:r>
              <w:rPr>
                <w:rFonts w:hint="default" w:ascii="Times New Roman" w:hAnsi="Times New Roman" w:cs="Times New Roman"/>
                <w:b/>
                <w:color w:val="000000"/>
                <w:szCs w:val="21"/>
                <w:highlight w:val="none"/>
              </w:rPr>
              <w:t>评分内容：</w:t>
            </w:r>
          </w:p>
          <w:p>
            <w:pPr>
              <w:keepNext w:val="0"/>
              <w:keepLines w:val="0"/>
              <w:pageBreakBefore w:val="0"/>
              <w:tabs>
                <w:tab w:val="left" w:pos="426"/>
              </w:tabs>
              <w:kinsoku/>
              <w:wordWrap/>
              <w:overflowPunct/>
              <w:topLinePunct w:val="0"/>
              <w:autoSpaceDE/>
              <w:autoSpaceDN/>
              <w:bidi w:val="0"/>
              <w:adjustRightInd w:val="0"/>
              <w:snapToGrid w:val="0"/>
              <w:spacing w:line="240" w:lineRule="atLeast"/>
              <w:textAlignment w:val="auto"/>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1</w:t>
            </w:r>
            <w:r>
              <w:rPr>
                <w:rFonts w:hint="eastAsia" w:ascii="Times New Roman" w:hAnsi="Times New Roman" w:cs="Times New Roman"/>
                <w:color w:val="000000"/>
                <w:szCs w:val="21"/>
                <w:highlight w:val="none"/>
                <w:lang w:eastAsia="zh-CN"/>
              </w:rPr>
              <w:t>.</w:t>
            </w:r>
            <w:r>
              <w:rPr>
                <w:rFonts w:hint="default" w:ascii="Times New Roman" w:hAnsi="Times New Roman" w:cs="Times New Roman"/>
                <w:color w:val="000000"/>
                <w:szCs w:val="21"/>
                <w:highlight w:val="none"/>
              </w:rPr>
              <w:t>投标人具有劳务派遣类软件著作权登记证书（须含“劳务派遣”或“人力外包”或“人力资源”关键字），每提供1个得</w:t>
            </w:r>
            <w:r>
              <w:rPr>
                <w:rFonts w:hint="default" w:ascii="Times New Roman" w:hAnsi="Times New Roman" w:cs="Times New Roman"/>
                <w:color w:val="000000"/>
                <w:szCs w:val="21"/>
                <w:highlight w:val="none"/>
                <w:lang w:val="en-US" w:eastAsia="zh-CN"/>
              </w:rPr>
              <w:t>1</w:t>
            </w:r>
            <w:r>
              <w:rPr>
                <w:rFonts w:hint="default" w:ascii="Times New Roman" w:hAnsi="Times New Roman" w:cs="Times New Roman"/>
                <w:color w:val="000000"/>
                <w:szCs w:val="21"/>
                <w:highlight w:val="none"/>
              </w:rPr>
              <w:t>分，最高得</w:t>
            </w:r>
            <w:r>
              <w:rPr>
                <w:rFonts w:hint="eastAsia" w:ascii="Times New Roman" w:hAnsi="Times New Roman" w:cs="Times New Roman"/>
                <w:color w:val="000000"/>
                <w:szCs w:val="21"/>
                <w:highlight w:val="none"/>
                <w:lang w:val="en-US" w:eastAsia="zh-CN"/>
              </w:rPr>
              <w:t>3</w:t>
            </w:r>
            <w:r>
              <w:rPr>
                <w:rFonts w:hint="default" w:ascii="Times New Roman" w:hAnsi="Times New Roman" w:cs="Times New Roman"/>
                <w:color w:val="000000"/>
                <w:szCs w:val="21"/>
                <w:highlight w:val="none"/>
              </w:rPr>
              <w:t>分，其它情况不得分；</w:t>
            </w:r>
          </w:p>
          <w:p>
            <w:pPr>
              <w:keepNext w:val="0"/>
              <w:keepLines w:val="0"/>
              <w:pageBreakBefore w:val="0"/>
              <w:tabs>
                <w:tab w:val="left" w:pos="426"/>
              </w:tabs>
              <w:kinsoku/>
              <w:wordWrap/>
              <w:overflowPunct/>
              <w:topLinePunct w:val="0"/>
              <w:autoSpaceDE/>
              <w:autoSpaceDN/>
              <w:bidi w:val="0"/>
              <w:adjustRightInd w:val="0"/>
              <w:snapToGrid w:val="0"/>
              <w:spacing w:line="240" w:lineRule="atLeast"/>
              <w:textAlignment w:val="auto"/>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2</w:t>
            </w:r>
            <w:r>
              <w:rPr>
                <w:rFonts w:hint="eastAsia" w:ascii="Times New Roman" w:hAnsi="Times New Roman" w:cs="Times New Roman"/>
                <w:color w:val="000000"/>
                <w:szCs w:val="21"/>
                <w:highlight w:val="none"/>
                <w:lang w:eastAsia="zh-CN"/>
              </w:rPr>
              <w:t>.</w:t>
            </w:r>
            <w:r>
              <w:rPr>
                <w:rFonts w:hint="default" w:ascii="Times New Roman" w:hAnsi="Times New Roman" w:cs="Times New Roman"/>
                <w:color w:val="000000"/>
                <w:szCs w:val="21"/>
                <w:highlight w:val="none"/>
              </w:rPr>
              <w:t>投标人具有测评类软件著作权登记证书（须含“心理测评”或“人力资源测评”关键字）每提供1个得</w:t>
            </w:r>
            <w:r>
              <w:rPr>
                <w:rFonts w:hint="eastAsia" w:ascii="Times New Roman" w:hAnsi="Times New Roman" w:cs="Times New Roman"/>
                <w:color w:val="000000"/>
                <w:szCs w:val="21"/>
                <w:highlight w:val="none"/>
                <w:lang w:val="en-US" w:eastAsia="zh-CN"/>
              </w:rPr>
              <w:t>2</w:t>
            </w:r>
            <w:r>
              <w:rPr>
                <w:rFonts w:hint="default" w:ascii="Times New Roman" w:hAnsi="Times New Roman" w:cs="Times New Roman"/>
                <w:color w:val="000000"/>
                <w:szCs w:val="21"/>
                <w:highlight w:val="none"/>
              </w:rPr>
              <w:t>分，最高得</w:t>
            </w:r>
            <w:r>
              <w:rPr>
                <w:rFonts w:hint="eastAsia" w:ascii="Times New Roman" w:hAnsi="Times New Roman" w:cs="Times New Roman"/>
                <w:color w:val="000000"/>
                <w:szCs w:val="21"/>
                <w:highlight w:val="none"/>
                <w:lang w:val="en-US" w:eastAsia="zh-CN"/>
              </w:rPr>
              <w:t>4</w:t>
            </w:r>
            <w:r>
              <w:rPr>
                <w:rFonts w:hint="default" w:ascii="Times New Roman" w:hAnsi="Times New Roman" w:cs="Times New Roman"/>
                <w:color w:val="000000"/>
                <w:szCs w:val="21"/>
                <w:highlight w:val="none"/>
              </w:rPr>
              <w:t xml:space="preserve">分，其它情况不得分； </w:t>
            </w:r>
          </w:p>
          <w:p>
            <w:pPr>
              <w:keepNext w:val="0"/>
              <w:keepLines w:val="0"/>
              <w:pageBreakBefore w:val="0"/>
              <w:tabs>
                <w:tab w:val="left" w:pos="426"/>
              </w:tabs>
              <w:kinsoku/>
              <w:wordWrap/>
              <w:overflowPunct/>
              <w:topLinePunct w:val="0"/>
              <w:autoSpaceDE/>
              <w:autoSpaceDN/>
              <w:bidi w:val="0"/>
              <w:adjustRightInd w:val="0"/>
              <w:snapToGrid w:val="0"/>
              <w:spacing w:line="240" w:lineRule="atLeast"/>
              <w:textAlignment w:val="auto"/>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3</w:t>
            </w:r>
            <w:r>
              <w:rPr>
                <w:rFonts w:hint="eastAsia" w:ascii="Times New Roman" w:hAnsi="Times New Roman" w:cs="Times New Roman"/>
                <w:color w:val="000000"/>
                <w:szCs w:val="21"/>
                <w:highlight w:val="none"/>
                <w:lang w:eastAsia="zh-CN"/>
              </w:rPr>
              <w:t>.</w:t>
            </w:r>
            <w:r>
              <w:rPr>
                <w:rFonts w:hint="default" w:ascii="Times New Roman" w:hAnsi="Times New Roman" w:cs="Times New Roman"/>
                <w:color w:val="000000"/>
                <w:szCs w:val="21"/>
                <w:highlight w:val="none"/>
              </w:rPr>
              <w:t>投标人具有后勤管理类软件著作权登记证书（须含“后勤管理”关键字）得</w:t>
            </w:r>
            <w:r>
              <w:rPr>
                <w:rFonts w:hint="eastAsia" w:ascii="Times New Roman" w:hAnsi="Times New Roman" w:cs="Times New Roman"/>
                <w:color w:val="000000"/>
                <w:szCs w:val="21"/>
                <w:highlight w:val="none"/>
                <w:lang w:val="en-US" w:eastAsia="zh-CN"/>
              </w:rPr>
              <w:t>2</w:t>
            </w:r>
            <w:r>
              <w:rPr>
                <w:rFonts w:hint="default" w:ascii="Times New Roman" w:hAnsi="Times New Roman" w:cs="Times New Roman"/>
                <w:color w:val="000000"/>
                <w:szCs w:val="21"/>
                <w:highlight w:val="none"/>
              </w:rPr>
              <w:t xml:space="preserve">分，其它情况不得分。 </w:t>
            </w:r>
          </w:p>
          <w:p>
            <w:pPr>
              <w:keepNext w:val="0"/>
              <w:keepLines w:val="0"/>
              <w:pageBreakBefore w:val="0"/>
              <w:tabs>
                <w:tab w:val="left" w:pos="426"/>
              </w:tabs>
              <w:kinsoku/>
              <w:wordWrap/>
              <w:overflowPunct/>
              <w:topLinePunct w:val="0"/>
              <w:autoSpaceDE/>
              <w:autoSpaceDN/>
              <w:bidi w:val="0"/>
              <w:adjustRightInd w:val="0"/>
              <w:snapToGrid w:val="0"/>
              <w:spacing w:line="240" w:lineRule="atLeast"/>
              <w:textAlignment w:val="auto"/>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以上3项得分累计，满分</w:t>
            </w:r>
            <w:r>
              <w:rPr>
                <w:rFonts w:hint="eastAsia" w:ascii="Times New Roman" w:hAnsi="Times New Roman" w:cs="Times New Roman"/>
                <w:color w:val="000000"/>
                <w:szCs w:val="21"/>
                <w:highlight w:val="none"/>
                <w:lang w:val="en-US" w:eastAsia="zh-CN"/>
              </w:rPr>
              <w:t>9</w:t>
            </w:r>
            <w:r>
              <w:rPr>
                <w:rFonts w:hint="default" w:ascii="Times New Roman" w:hAnsi="Times New Roman" w:cs="Times New Roman"/>
                <w:color w:val="000000"/>
                <w:szCs w:val="21"/>
                <w:highlight w:val="none"/>
              </w:rPr>
              <w:t>分。</w:t>
            </w:r>
          </w:p>
          <w:p>
            <w:pPr>
              <w:keepNext w:val="0"/>
              <w:keepLines w:val="0"/>
              <w:pageBreakBefore w:val="0"/>
              <w:widowControl/>
              <w:tabs>
                <w:tab w:val="left" w:pos="426"/>
              </w:tabs>
              <w:kinsoku/>
              <w:wordWrap/>
              <w:overflowPunct/>
              <w:topLinePunct w:val="0"/>
              <w:autoSpaceDE/>
              <w:autoSpaceDN/>
              <w:bidi w:val="0"/>
              <w:adjustRightInd w:val="0"/>
              <w:snapToGrid w:val="0"/>
              <w:spacing w:line="240" w:lineRule="atLeast"/>
              <w:textAlignment w:val="auto"/>
              <w:rPr>
                <w:rFonts w:hint="default" w:ascii="Times New Roman" w:hAnsi="Times New Roman" w:cs="Times New Roman"/>
                <w:b/>
                <w:color w:val="000000"/>
                <w:szCs w:val="21"/>
                <w:highlight w:val="none"/>
              </w:rPr>
            </w:pPr>
            <w:r>
              <w:rPr>
                <w:rFonts w:hint="default" w:ascii="Times New Roman" w:hAnsi="Times New Roman" w:cs="Times New Roman"/>
                <w:b/>
                <w:color w:val="000000"/>
                <w:szCs w:val="21"/>
                <w:highlight w:val="none"/>
              </w:rPr>
              <w:t>评分依据：</w:t>
            </w:r>
          </w:p>
          <w:p>
            <w:pPr>
              <w:keepNext w:val="0"/>
              <w:keepLines w:val="0"/>
              <w:pageBreakBefore w:val="0"/>
              <w:widowControl/>
              <w:tabs>
                <w:tab w:val="left" w:pos="426"/>
              </w:tabs>
              <w:kinsoku/>
              <w:wordWrap/>
              <w:overflowPunct/>
              <w:topLinePunct w:val="0"/>
              <w:autoSpaceDE/>
              <w:autoSpaceDN/>
              <w:bidi w:val="0"/>
              <w:adjustRightInd w:val="0"/>
              <w:snapToGrid w:val="0"/>
              <w:spacing w:line="240" w:lineRule="atLeast"/>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000000"/>
                <w:szCs w:val="21"/>
                <w:highlight w:val="none"/>
              </w:rPr>
              <w:t>提供相关有效专利证书扫描件，原件备查。如未按要求提供证明材料，或所提供的证明材料未能体现上述评分内容的，视为该证明材料无效。</w:t>
            </w:r>
          </w:p>
        </w:tc>
      </w:tr>
    </w:tbl>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五、投标文件制作要求</w:t>
      </w:r>
    </w:p>
    <w:p>
      <w:pPr>
        <w:spacing w:line="560" w:lineRule="exact"/>
        <w:ind w:firstLine="640" w:firstLineChars="200"/>
        <w:rPr>
          <w:rFonts w:hint="eastAsia" w:ascii="仿宋" w:hAnsi="仿宋" w:eastAsia="仿宋" w:cs="CESI仿宋-GB2312"/>
          <w:sz w:val="32"/>
          <w:szCs w:val="32"/>
          <w:lang w:eastAsia="zh-CN"/>
        </w:rPr>
      </w:pPr>
      <w:r>
        <w:rPr>
          <w:rFonts w:hint="eastAsia" w:ascii="仿宋" w:hAnsi="仿宋" w:eastAsia="仿宋" w:cs="CESI仿宋-GB2312"/>
          <w:sz w:val="32"/>
          <w:szCs w:val="32"/>
        </w:rPr>
        <w:t>（一）本项目的投标报价以人民币计算</w:t>
      </w:r>
      <w:r>
        <w:rPr>
          <w:rFonts w:hint="eastAsia" w:ascii="仿宋" w:hAnsi="仿宋" w:eastAsia="仿宋" w:cs="CESI仿宋-GB2312"/>
          <w:sz w:val="32"/>
          <w:szCs w:val="32"/>
          <w:lang w:eastAsia="zh-CN"/>
        </w:rPr>
        <w:t>。</w:t>
      </w:r>
    </w:p>
    <w:p>
      <w:pPr>
        <w:spacing w:line="560" w:lineRule="exact"/>
        <w:ind w:firstLine="640" w:firstLineChars="200"/>
        <w:rPr>
          <w:rFonts w:ascii="仿宋" w:hAnsi="仿宋" w:eastAsia="仿宋" w:cs="CESI仿宋-GB2312"/>
          <w:sz w:val="32"/>
          <w:szCs w:val="32"/>
        </w:rPr>
      </w:pPr>
      <w:r>
        <w:rPr>
          <w:rFonts w:hint="eastAsia" w:ascii="仿宋" w:hAnsi="仿宋" w:eastAsia="仿宋" w:cs="CESI仿宋-GB2312"/>
          <w:sz w:val="32"/>
          <w:szCs w:val="32"/>
        </w:rPr>
        <w:t>（二）投标文件应严格按要求顺序装订成册：</w:t>
      </w:r>
    </w:p>
    <w:p>
      <w:pPr>
        <w:spacing w:line="560" w:lineRule="exact"/>
        <w:ind w:firstLine="640" w:firstLineChars="200"/>
        <w:rPr>
          <w:rFonts w:hint="eastAsia" w:ascii="仿宋" w:hAnsi="仿宋" w:eastAsia="仿宋" w:cs="CESI仿宋-GB2312"/>
          <w:sz w:val="32"/>
          <w:szCs w:val="32"/>
          <w:lang w:eastAsia="zh-CN"/>
        </w:rPr>
      </w:pPr>
      <w:r>
        <w:rPr>
          <w:rFonts w:hint="eastAsia" w:ascii="仿宋" w:hAnsi="仿宋" w:eastAsia="仿宋" w:cs="CESI仿宋-GB2312"/>
          <w:sz w:val="32"/>
          <w:szCs w:val="32"/>
        </w:rPr>
        <w:t>1.所投项目名称及投标人名称</w:t>
      </w:r>
      <w:r>
        <w:rPr>
          <w:rFonts w:hint="eastAsia" w:ascii="仿宋" w:hAnsi="仿宋" w:eastAsia="仿宋" w:cs="CESI仿宋-GB2312"/>
          <w:sz w:val="32"/>
          <w:szCs w:val="32"/>
          <w:lang w:eastAsia="zh-CN"/>
        </w:rPr>
        <w:t>。</w:t>
      </w:r>
    </w:p>
    <w:p>
      <w:pPr>
        <w:spacing w:line="560" w:lineRule="exact"/>
        <w:ind w:firstLine="640" w:firstLineChars="200"/>
        <w:rPr>
          <w:rFonts w:hint="eastAsia" w:ascii="仿宋" w:hAnsi="仿宋" w:eastAsia="仿宋" w:cs="CESI仿宋-GB2312"/>
          <w:sz w:val="32"/>
          <w:szCs w:val="32"/>
          <w:lang w:eastAsia="zh-CN"/>
        </w:rPr>
      </w:pPr>
      <w:r>
        <w:rPr>
          <w:rFonts w:hint="eastAsia" w:ascii="仿宋" w:hAnsi="仿宋" w:eastAsia="仿宋" w:cs="CESI仿宋-GB2312"/>
          <w:sz w:val="32"/>
          <w:szCs w:val="32"/>
        </w:rPr>
        <w:t>2.法人代表证明及身份证复印件或委托代理人证明及身份证复印件（格式要求详见附件）</w:t>
      </w:r>
      <w:r>
        <w:rPr>
          <w:rFonts w:hint="eastAsia" w:ascii="仿宋" w:hAnsi="仿宋" w:eastAsia="仿宋" w:cs="CESI仿宋-GB2312"/>
          <w:sz w:val="32"/>
          <w:szCs w:val="32"/>
          <w:lang w:eastAsia="zh-CN"/>
        </w:rPr>
        <w:t>。</w:t>
      </w:r>
    </w:p>
    <w:p>
      <w:pPr>
        <w:spacing w:line="560" w:lineRule="exact"/>
        <w:ind w:firstLine="640" w:firstLineChars="200"/>
        <w:rPr>
          <w:rFonts w:hint="eastAsia" w:ascii="仿宋" w:hAnsi="仿宋" w:eastAsia="仿宋" w:cs="CESI仿宋-GB2312"/>
          <w:sz w:val="32"/>
          <w:szCs w:val="32"/>
          <w:lang w:eastAsia="zh-CN"/>
        </w:rPr>
      </w:pPr>
      <w:r>
        <w:rPr>
          <w:rFonts w:hint="eastAsia" w:ascii="仿宋" w:hAnsi="仿宋" w:eastAsia="仿宋" w:cs="CESI仿宋-GB2312"/>
          <w:sz w:val="32"/>
          <w:szCs w:val="32"/>
        </w:rPr>
        <w:t>3.营业执照复印件（盖公章，原件备查）</w:t>
      </w:r>
      <w:r>
        <w:rPr>
          <w:rFonts w:hint="eastAsia" w:ascii="仿宋" w:hAnsi="仿宋" w:eastAsia="仿宋" w:cs="CESI仿宋-GB2312"/>
          <w:sz w:val="32"/>
          <w:szCs w:val="32"/>
          <w:lang w:eastAsia="zh-CN"/>
        </w:rPr>
        <w:t>。</w:t>
      </w:r>
    </w:p>
    <w:p>
      <w:pPr>
        <w:spacing w:line="560" w:lineRule="exact"/>
        <w:ind w:firstLine="640" w:firstLineChars="200"/>
        <w:rPr>
          <w:rFonts w:hint="eastAsia" w:ascii="仿宋" w:hAnsi="仿宋" w:eastAsia="仿宋" w:cs="CESI仿宋-GB2312"/>
          <w:sz w:val="32"/>
          <w:szCs w:val="32"/>
          <w:lang w:eastAsia="zh-CN"/>
        </w:rPr>
      </w:pPr>
      <w:r>
        <w:rPr>
          <w:rFonts w:hint="eastAsia" w:ascii="仿宋" w:hAnsi="仿宋" w:eastAsia="仿宋" w:cs="CESI仿宋-GB2312"/>
          <w:sz w:val="32"/>
          <w:szCs w:val="32"/>
        </w:rPr>
        <w:t>4.相关声明函（格式要求详见附件）</w:t>
      </w:r>
      <w:r>
        <w:rPr>
          <w:rFonts w:hint="eastAsia" w:ascii="仿宋" w:hAnsi="仿宋" w:eastAsia="仿宋" w:cs="CESI仿宋-GB2312"/>
          <w:sz w:val="32"/>
          <w:szCs w:val="32"/>
          <w:lang w:eastAsia="zh-CN"/>
        </w:rPr>
        <w:t>。</w:t>
      </w:r>
    </w:p>
    <w:p>
      <w:pPr>
        <w:spacing w:line="560" w:lineRule="exact"/>
        <w:ind w:firstLine="640" w:firstLineChars="200"/>
        <w:rPr>
          <w:rFonts w:hint="eastAsia" w:ascii="仿宋" w:hAnsi="仿宋" w:eastAsia="仿宋" w:cs="CESI仿宋-GB2312"/>
          <w:sz w:val="32"/>
          <w:szCs w:val="32"/>
          <w:lang w:eastAsia="zh-CN"/>
        </w:rPr>
      </w:pPr>
      <w:r>
        <w:rPr>
          <w:rFonts w:hint="eastAsia" w:ascii="仿宋" w:hAnsi="仿宋" w:eastAsia="仿宋" w:cs="CESI仿宋-GB2312"/>
          <w:sz w:val="32"/>
          <w:szCs w:val="32"/>
        </w:rPr>
        <w:t>5.报价详细清单、项目总价</w:t>
      </w:r>
      <w:r>
        <w:rPr>
          <w:rFonts w:hint="eastAsia" w:ascii="仿宋" w:hAnsi="仿宋" w:eastAsia="仿宋" w:cs="CESI仿宋-GB2312"/>
          <w:sz w:val="32"/>
          <w:szCs w:val="32"/>
          <w:lang w:eastAsia="zh-CN"/>
        </w:rPr>
        <w:t>。</w:t>
      </w:r>
    </w:p>
    <w:p>
      <w:pPr>
        <w:spacing w:line="560" w:lineRule="exact"/>
        <w:ind w:firstLine="640" w:firstLineChars="200"/>
        <w:rPr>
          <w:rFonts w:ascii="仿宋" w:hAnsi="仿宋" w:eastAsia="仿宋" w:cs="CESI仿宋-GB2312"/>
          <w:sz w:val="32"/>
          <w:szCs w:val="32"/>
        </w:rPr>
      </w:pPr>
      <w:r>
        <w:rPr>
          <w:rFonts w:hint="eastAsia" w:ascii="仿宋" w:hAnsi="仿宋" w:eastAsia="仿宋" w:cs="CESI仿宋-GB2312"/>
          <w:sz w:val="32"/>
          <w:szCs w:val="32"/>
        </w:rPr>
        <w:t>6.①参加政府采购活动近三年内，在经营活动中没有重大违法记录的声明函；②不存在处于被禁止参与政府采购活动期限内情形的声明函；③投标承诺书（格式要求详见附件）</w:t>
      </w:r>
      <w:r>
        <w:rPr>
          <w:rFonts w:hint="eastAsia" w:ascii="仿宋" w:hAnsi="仿宋" w:eastAsia="仿宋" w:cs="CESI仿宋-GB2312"/>
          <w:sz w:val="32"/>
          <w:szCs w:val="32"/>
          <w:lang w:eastAsia="zh-CN"/>
        </w:rPr>
        <w:t>。</w:t>
      </w:r>
    </w:p>
    <w:p>
      <w:pPr>
        <w:spacing w:line="560" w:lineRule="exact"/>
        <w:ind w:firstLine="640" w:firstLineChars="200"/>
        <w:rPr>
          <w:rFonts w:ascii="仿宋" w:hAnsi="仿宋" w:eastAsia="仿宋" w:cs="CESI仿宋-GB2312"/>
          <w:sz w:val="32"/>
          <w:szCs w:val="32"/>
        </w:rPr>
      </w:pPr>
      <w:r>
        <w:rPr>
          <w:rFonts w:hint="eastAsia" w:ascii="仿宋" w:hAnsi="仿宋" w:eastAsia="仿宋" w:cs="CESI仿宋-GB2312"/>
          <w:sz w:val="32"/>
          <w:szCs w:val="32"/>
        </w:rPr>
        <w:t>（三）项目报价必须包含人工、社保、交通、住宿、伙食、培训、税金等与本项目相关的一切费用。折算成单价即为全费用综合单价，报价不得高于本预算金额,高于预算金额报价的投标文件按无效标处理。</w:t>
      </w:r>
    </w:p>
    <w:p>
      <w:pPr>
        <w:spacing w:line="560" w:lineRule="exact"/>
        <w:ind w:firstLine="640" w:firstLineChars="200"/>
        <w:rPr>
          <w:rFonts w:ascii="仿宋" w:hAnsi="仿宋" w:eastAsia="仿宋" w:cs="CESI仿宋-GB2312"/>
          <w:sz w:val="32"/>
          <w:szCs w:val="32"/>
        </w:rPr>
      </w:pPr>
      <w:r>
        <w:rPr>
          <w:rFonts w:hint="eastAsia" w:ascii="仿宋" w:hAnsi="仿宋" w:eastAsia="仿宋" w:cs="CESI仿宋-GB2312"/>
          <w:sz w:val="32"/>
          <w:szCs w:val="32"/>
        </w:rPr>
        <w:t>（四）其他文件（投标单位根据评标细则选择提交的其他证明资料）。</w:t>
      </w:r>
    </w:p>
    <w:p>
      <w:pPr>
        <w:spacing w:line="560" w:lineRule="exact"/>
        <w:ind w:firstLine="640" w:firstLineChars="200"/>
        <w:rPr>
          <w:rFonts w:ascii="仿宋" w:hAnsi="仿宋" w:eastAsia="仿宋" w:cs="CESI仿宋-GB2312"/>
          <w:sz w:val="32"/>
          <w:szCs w:val="32"/>
        </w:rPr>
      </w:pPr>
      <w:r>
        <w:rPr>
          <w:rFonts w:hint="eastAsia" w:ascii="仿宋" w:hAnsi="仿宋" w:eastAsia="仿宋" w:cs="CESI仿宋-GB2312"/>
          <w:sz w:val="32"/>
          <w:szCs w:val="32"/>
        </w:rPr>
        <w:t>注：以上文件均应提供纸质材料并加盖投标单位公章，投标文件一式五份，一份正本，四份副本。</w:t>
      </w: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六、合同签订</w:t>
      </w:r>
    </w:p>
    <w:p>
      <w:pPr>
        <w:spacing w:line="560" w:lineRule="exact"/>
        <w:ind w:firstLine="640" w:firstLineChars="200"/>
        <w:rPr>
          <w:rFonts w:ascii="仿宋" w:hAnsi="仿宋" w:eastAsia="仿宋" w:cs="CESI仿宋-GB2312"/>
          <w:sz w:val="32"/>
          <w:szCs w:val="32"/>
        </w:rPr>
      </w:pPr>
      <w:r>
        <w:rPr>
          <w:rFonts w:hint="eastAsia" w:ascii="仿宋" w:hAnsi="仿宋" w:eastAsia="仿宋" w:cs="CESI仿宋-GB2312"/>
          <w:sz w:val="32"/>
          <w:szCs w:val="32"/>
        </w:rPr>
        <w:t>通过综合评审确定候选中标单位后，采购单位将结果在</w:t>
      </w:r>
      <w:r>
        <w:rPr>
          <w:rFonts w:hint="eastAsia" w:ascii="仿宋" w:hAnsi="仿宋" w:eastAsia="仿宋" w:cs="CESI仿宋-GB2312"/>
          <w:sz w:val="32"/>
          <w:szCs w:val="32"/>
          <w:lang w:eastAsia="zh-CN"/>
        </w:rPr>
        <w:t>坪山区人民政府</w:t>
      </w:r>
      <w:r>
        <w:rPr>
          <w:rFonts w:hint="eastAsia" w:ascii="仿宋" w:hAnsi="仿宋" w:eastAsia="仿宋" w:cs="CESI仿宋-GB2312"/>
          <w:sz w:val="32"/>
          <w:szCs w:val="32"/>
        </w:rPr>
        <w:t>网站公示，公示期满无异议后，招标人向中标单位发出中标通知书，中标单位在接到招标人通知书后，必须在规定的时间内与招标人进行合同的签订工作。</w:t>
      </w: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七、联系方式</w:t>
      </w:r>
    </w:p>
    <w:p>
      <w:pPr>
        <w:spacing w:line="560" w:lineRule="exact"/>
        <w:ind w:firstLine="640" w:firstLineChars="200"/>
        <w:rPr>
          <w:rFonts w:hint="eastAsia" w:ascii="仿宋" w:hAnsi="仿宋" w:eastAsia="仿宋" w:cs="CESI仿宋-GB2312"/>
          <w:sz w:val="32"/>
          <w:szCs w:val="32"/>
        </w:rPr>
      </w:pPr>
      <w:r>
        <w:rPr>
          <w:rFonts w:hint="eastAsia" w:ascii="仿宋" w:hAnsi="仿宋" w:eastAsia="仿宋" w:cs="CESI仿宋-GB2312"/>
          <w:sz w:val="32"/>
          <w:szCs w:val="32"/>
        </w:rPr>
        <w:t>（一）采购单位地址：</w:t>
      </w:r>
      <w:r>
        <w:rPr>
          <w:rFonts w:hint="eastAsia" w:ascii="仿宋" w:hAnsi="仿宋" w:eastAsia="仿宋" w:cs="CESI仿宋-GB2312"/>
          <w:sz w:val="32"/>
          <w:szCs w:val="32"/>
          <w:lang w:eastAsia="zh-CN"/>
        </w:rPr>
        <w:t>深圳市坪山区碧岭</w:t>
      </w:r>
      <w:r>
        <w:rPr>
          <w:rFonts w:hint="eastAsia" w:ascii="仿宋" w:hAnsi="仿宋" w:eastAsia="仿宋" w:cs="CESI仿宋-GB2312"/>
          <w:sz w:val="32"/>
          <w:szCs w:val="32"/>
        </w:rPr>
        <w:t>街道</w:t>
      </w:r>
      <w:r>
        <w:rPr>
          <w:rFonts w:hint="eastAsia" w:ascii="仿宋" w:hAnsi="仿宋" w:eastAsia="仿宋" w:cs="CESI仿宋-GB2312"/>
          <w:sz w:val="32"/>
          <w:szCs w:val="32"/>
          <w:lang w:eastAsia="zh-CN"/>
        </w:rPr>
        <w:t>同裕路</w:t>
      </w:r>
      <w:r>
        <w:rPr>
          <w:rFonts w:hint="eastAsia" w:ascii="仿宋" w:hAnsi="仿宋" w:eastAsia="仿宋" w:cs="CESI仿宋-GB2312"/>
          <w:sz w:val="32"/>
          <w:szCs w:val="32"/>
          <w:lang w:val="en-US" w:eastAsia="zh-CN"/>
        </w:rPr>
        <w:t>47号碧岭街道</w:t>
      </w:r>
      <w:r>
        <w:rPr>
          <w:rFonts w:hint="eastAsia" w:ascii="仿宋" w:hAnsi="仿宋" w:eastAsia="仿宋" w:cs="CESI仿宋-GB2312"/>
          <w:sz w:val="32"/>
          <w:szCs w:val="32"/>
        </w:rPr>
        <w:t>办事处</w:t>
      </w:r>
      <w:r>
        <w:rPr>
          <w:rFonts w:hint="eastAsia" w:ascii="仿宋" w:hAnsi="仿宋" w:eastAsia="仿宋" w:cs="CESI仿宋-GB2312"/>
          <w:sz w:val="32"/>
          <w:szCs w:val="32"/>
          <w:lang w:val="en-US" w:eastAsia="zh-CN"/>
        </w:rPr>
        <w:t>2号楼401室。</w:t>
      </w:r>
    </w:p>
    <w:p>
      <w:pPr>
        <w:spacing w:line="560" w:lineRule="exact"/>
        <w:ind w:firstLine="640" w:firstLineChars="200"/>
        <w:rPr>
          <w:rFonts w:hint="eastAsia" w:ascii="仿宋" w:hAnsi="仿宋" w:eastAsia="仿宋" w:cs="CESI仿宋-GB2312"/>
          <w:sz w:val="32"/>
          <w:szCs w:val="32"/>
          <w:lang w:eastAsia="zh-CN"/>
        </w:rPr>
      </w:pPr>
      <w:r>
        <w:rPr>
          <w:rFonts w:hint="eastAsia" w:ascii="仿宋" w:hAnsi="仿宋" w:eastAsia="仿宋" w:cs="CESI仿宋-GB2312"/>
          <w:sz w:val="32"/>
          <w:szCs w:val="32"/>
        </w:rPr>
        <w:t>（二）联系电话：</w:t>
      </w:r>
      <w:r>
        <w:rPr>
          <w:rFonts w:hint="eastAsia" w:ascii="仿宋" w:hAnsi="仿宋" w:eastAsia="仿宋" w:cs="CESI仿宋-GB2312"/>
          <w:sz w:val="32"/>
          <w:szCs w:val="32"/>
          <w:lang w:val="en-US" w:eastAsia="zh-CN"/>
        </w:rPr>
        <w:t>0755-28380875</w:t>
      </w:r>
      <w:r>
        <w:rPr>
          <w:rFonts w:hint="eastAsia" w:ascii="仿宋" w:hAnsi="仿宋" w:eastAsia="仿宋" w:cs="CESI仿宋-GB2312"/>
          <w:sz w:val="32"/>
          <w:szCs w:val="32"/>
          <w:lang w:eastAsia="zh-CN"/>
        </w:rPr>
        <w:t>。</w:t>
      </w:r>
    </w:p>
    <w:p>
      <w:pPr>
        <w:spacing w:line="560" w:lineRule="exact"/>
        <w:ind w:firstLine="640" w:firstLineChars="200"/>
        <w:rPr>
          <w:rFonts w:hint="eastAsia" w:ascii="仿宋" w:hAnsi="仿宋" w:eastAsia="仿宋" w:cs="CESI仿宋-GB2312"/>
          <w:sz w:val="32"/>
          <w:szCs w:val="32"/>
          <w:lang w:eastAsia="zh-CN"/>
        </w:rPr>
      </w:pPr>
      <w:r>
        <w:rPr>
          <w:rFonts w:hint="eastAsia" w:ascii="仿宋" w:hAnsi="仿宋" w:eastAsia="仿宋" w:cs="CESI仿宋-GB2312"/>
          <w:sz w:val="32"/>
          <w:szCs w:val="32"/>
        </w:rPr>
        <w:t>（三）联系人：张工</w:t>
      </w:r>
      <w:r>
        <w:rPr>
          <w:rFonts w:hint="eastAsia" w:ascii="仿宋" w:hAnsi="仿宋" w:eastAsia="仿宋" w:cs="CESI仿宋-GB2312"/>
          <w:sz w:val="32"/>
          <w:szCs w:val="32"/>
          <w:lang w:eastAsia="zh-CN"/>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br w:type="page"/>
      </w:r>
    </w:p>
    <w:p>
      <w:pPr>
        <w:adjustRightInd w:val="0"/>
        <w:snapToGrid w:val="0"/>
        <w:spacing w:line="560" w:lineRule="exact"/>
        <w:rPr>
          <w:rFonts w:ascii="仿宋" w:hAnsi="仿宋" w:eastAsia="仿宋" w:cs="仿宋"/>
          <w:b/>
          <w:sz w:val="32"/>
          <w:szCs w:val="32"/>
        </w:rPr>
      </w:pPr>
      <w:r>
        <w:rPr>
          <w:rFonts w:hint="eastAsia" w:ascii="仿宋" w:hAnsi="仿宋" w:eastAsia="仿宋" w:cs="仿宋"/>
          <w:b/>
          <w:sz w:val="32"/>
          <w:szCs w:val="32"/>
        </w:rPr>
        <w:t>以下附件供参考：</w:t>
      </w:r>
    </w:p>
    <w:p>
      <w:pPr>
        <w:pStyle w:val="9"/>
        <w:jc w:val="both"/>
        <w:rPr>
          <w:rFonts w:ascii="仿宋" w:hAnsi="仿宋" w:eastAsia="仿宋"/>
        </w:rPr>
      </w:pPr>
      <w:r>
        <w:rPr>
          <w:rFonts w:hint="eastAsia" w:ascii="仿宋" w:hAnsi="仿宋" w:eastAsia="仿宋" w:cs="仿宋"/>
          <w:b/>
          <w:sz w:val="32"/>
          <w:szCs w:val="32"/>
        </w:rPr>
        <w:t>附件1：</w:t>
      </w:r>
    </w:p>
    <w:p>
      <w:pPr>
        <w:adjustRightInd w:val="0"/>
        <w:snapToGrid w:val="0"/>
        <w:spacing w:line="560" w:lineRule="exact"/>
        <w:jc w:val="center"/>
        <w:rPr>
          <w:rFonts w:ascii="仿宋" w:hAnsi="仿宋" w:eastAsia="仿宋" w:cs="仿宋"/>
          <w:b/>
          <w:sz w:val="32"/>
          <w:szCs w:val="32"/>
        </w:rPr>
      </w:pPr>
      <w:r>
        <w:rPr>
          <w:rFonts w:hint="eastAsia" w:ascii="仿宋" w:hAnsi="仿宋" w:eastAsia="仿宋" w:cs="仿宋"/>
          <w:b/>
          <w:sz w:val="32"/>
          <w:szCs w:val="32"/>
        </w:rPr>
        <w:t>评审项目投标资料表</w:t>
      </w:r>
    </w:p>
    <w:tbl>
      <w:tblPr>
        <w:tblStyle w:val="1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6095"/>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序号</w:t>
            </w:r>
          </w:p>
        </w:tc>
        <w:tc>
          <w:tcPr>
            <w:tcW w:w="6095"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评审细则</w:t>
            </w: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bl>
    <w:p>
      <w:pPr>
        <w:adjustRightInd w:val="0"/>
        <w:snapToGrid w:val="0"/>
        <w:spacing w:line="560" w:lineRule="exact"/>
        <w:jc w:val="left"/>
        <w:rPr>
          <w:rFonts w:ascii="仿宋" w:hAnsi="仿宋" w:eastAsia="仿宋" w:cs="仿宋"/>
          <w:szCs w:val="21"/>
        </w:rPr>
      </w:pPr>
      <w:r>
        <w:rPr>
          <w:rFonts w:hint="eastAsia" w:ascii="仿宋" w:hAnsi="仿宋" w:eastAsia="仿宋" w:cs="仿宋"/>
          <w:szCs w:val="21"/>
        </w:rPr>
        <w:t>注：请参照招标文件评标办法“评分细则”中的内容逐条填写并注明对应页码。</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投标人（公章）： </w:t>
      </w:r>
    </w:p>
    <w:p>
      <w:pPr>
        <w:adjustRightInd w:val="0"/>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法定代表人或授权代表签名：</w:t>
      </w:r>
    </w:p>
    <w:p>
      <w:pPr>
        <w:adjustRightInd w:val="0"/>
        <w:snapToGrid w:val="0"/>
        <w:spacing w:line="500" w:lineRule="exact"/>
        <w:ind w:firstLine="560" w:firstLineChars="200"/>
        <w:jc w:val="center"/>
        <w:rPr>
          <w:rFonts w:ascii="仿宋" w:hAnsi="仿宋" w:eastAsia="仿宋"/>
        </w:rPr>
      </w:pPr>
      <w:r>
        <w:rPr>
          <w:rFonts w:hint="eastAsia" w:ascii="仿宋" w:hAnsi="仿宋" w:eastAsia="仿宋" w:cs="仿宋"/>
          <w:sz w:val="28"/>
          <w:szCs w:val="28"/>
        </w:rPr>
        <w:t xml:space="preserve">                           日期：    年  月  日</w:t>
      </w:r>
      <w:r>
        <w:rPr>
          <w:rFonts w:hint="eastAsia" w:ascii="仿宋" w:hAnsi="仿宋" w:eastAsia="仿宋"/>
        </w:rPr>
        <w:br w:type="page"/>
      </w:r>
    </w:p>
    <w:p>
      <w:pPr>
        <w:pStyle w:val="9"/>
        <w:jc w:val="both"/>
        <w:rPr>
          <w:rFonts w:ascii="仿宋" w:hAnsi="仿宋" w:eastAsia="仿宋" w:cs="仿宋"/>
          <w:b/>
          <w:sz w:val="32"/>
          <w:szCs w:val="32"/>
        </w:rPr>
      </w:pPr>
      <w:r>
        <w:rPr>
          <w:rFonts w:hint="eastAsia" w:ascii="仿宋" w:hAnsi="仿宋" w:eastAsia="仿宋" w:cs="仿宋"/>
          <w:b/>
          <w:sz w:val="32"/>
          <w:szCs w:val="32"/>
        </w:rPr>
        <w:t>附件2</w:t>
      </w:r>
    </w:p>
    <w:p>
      <w:pPr>
        <w:jc w:val="center"/>
        <w:rPr>
          <w:rFonts w:ascii="仿宋" w:hAnsi="仿宋" w:eastAsia="仿宋" w:cs="仿宋"/>
          <w:sz w:val="28"/>
          <w:szCs w:val="28"/>
        </w:rPr>
      </w:pPr>
      <w:r>
        <w:rPr>
          <w:rFonts w:hint="eastAsia" w:ascii="仿宋" w:hAnsi="仿宋" w:eastAsia="仿宋"/>
          <w:b/>
          <w:bCs/>
          <w:sz w:val="32"/>
          <w:szCs w:val="40"/>
        </w:rPr>
        <w:t>法定代表人（负责人）证明书格式</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            同志，现任我单位         职务，为法定代表人（负责人），特此证明。</w:t>
      </w:r>
    </w:p>
    <w:p>
      <w:pPr>
        <w:ind w:firstLine="560" w:firstLineChars="200"/>
        <w:rPr>
          <w:rFonts w:ascii="仿宋" w:hAnsi="仿宋" w:eastAsia="仿宋" w:cs="仿宋"/>
          <w:sz w:val="28"/>
          <w:szCs w:val="28"/>
        </w:rPr>
      </w:pPr>
      <w:r>
        <w:rPr>
          <w:rFonts w:hint="eastAsia" w:ascii="仿宋" w:hAnsi="仿宋" w:eastAsia="仿宋" w:cs="仿宋"/>
          <w:sz w:val="28"/>
          <w:szCs w:val="28"/>
        </w:rPr>
        <w:t>有效日期：         签发日期：         单位盖章：</w:t>
      </w:r>
    </w:p>
    <w:p>
      <w:pPr>
        <w:ind w:firstLine="560" w:firstLineChars="200"/>
        <w:rPr>
          <w:rFonts w:ascii="仿宋" w:hAnsi="仿宋" w:eastAsia="仿宋" w:cs="仿宋"/>
          <w:sz w:val="28"/>
          <w:szCs w:val="28"/>
        </w:rPr>
      </w:pPr>
      <w:r>
        <w:rPr>
          <w:rFonts w:hint="eastAsia" w:ascii="仿宋" w:hAnsi="仿宋" w:eastAsia="仿宋" w:cs="仿宋"/>
          <w:sz w:val="28"/>
          <w:szCs w:val="28"/>
        </w:rPr>
        <w:t>附：</w:t>
      </w:r>
    </w:p>
    <w:p>
      <w:pPr>
        <w:ind w:firstLine="560" w:firstLineChars="200"/>
        <w:rPr>
          <w:rFonts w:ascii="仿宋" w:hAnsi="仿宋" w:eastAsia="仿宋" w:cs="仿宋"/>
          <w:sz w:val="28"/>
          <w:szCs w:val="28"/>
        </w:rPr>
      </w:pPr>
      <w:r>
        <w:rPr>
          <w:rFonts w:hint="eastAsia" w:ascii="仿宋" w:hAnsi="仿宋" w:eastAsia="仿宋" w:cs="仿宋"/>
          <w:sz w:val="28"/>
          <w:szCs w:val="28"/>
        </w:rPr>
        <w:t>营业执照号码：                 经济性质：</w:t>
      </w:r>
    </w:p>
    <w:p>
      <w:pPr>
        <w:ind w:firstLine="560" w:firstLineChars="200"/>
        <w:rPr>
          <w:rFonts w:ascii="仿宋" w:hAnsi="仿宋" w:eastAsia="仿宋" w:cs="仿宋"/>
          <w:sz w:val="28"/>
          <w:szCs w:val="28"/>
        </w:rPr>
      </w:pPr>
      <w:r>
        <w:rPr>
          <w:rFonts w:hint="eastAsia" w:ascii="仿宋" w:hAnsi="仿宋" w:eastAsia="仿宋" w:cs="仿宋"/>
          <w:sz w:val="28"/>
          <w:szCs w:val="28"/>
        </w:rPr>
        <w:t>主营：</w:t>
      </w:r>
    </w:p>
    <w:p>
      <w:pPr>
        <w:ind w:firstLine="560" w:firstLineChars="200"/>
        <w:rPr>
          <w:rFonts w:ascii="仿宋" w:hAnsi="仿宋" w:eastAsia="仿宋" w:cs="仿宋"/>
          <w:sz w:val="28"/>
          <w:szCs w:val="28"/>
        </w:rPr>
      </w:pPr>
      <w:r>
        <w:rPr>
          <w:rFonts w:hint="eastAsia" w:ascii="仿宋" w:hAnsi="仿宋" w:eastAsia="仿宋" w:cs="仿宋"/>
          <w:sz w:val="28"/>
          <w:szCs w:val="28"/>
        </w:rPr>
        <w:t>兼营：</w:t>
      </w:r>
    </w:p>
    <w:p>
      <w:pPr>
        <w:ind w:firstLine="560" w:firstLineChars="200"/>
        <w:rPr>
          <w:rFonts w:ascii="仿宋" w:hAnsi="仿宋" w:eastAsia="仿宋" w:cs="仿宋"/>
          <w:sz w:val="28"/>
          <w:szCs w:val="28"/>
        </w:rPr>
      </w:pPr>
      <w:r>
        <w:rPr>
          <w:rFonts w:hint="eastAsia" w:ascii="仿宋" w:hAnsi="仿宋" w:eastAsia="仿宋" w:cs="仿宋"/>
          <w:sz w:val="28"/>
          <w:szCs w:val="28"/>
        </w:rPr>
        <w:t>说明：</w:t>
      </w:r>
    </w:p>
    <w:p>
      <w:pPr>
        <w:ind w:firstLine="560" w:firstLineChars="200"/>
        <w:rPr>
          <w:rFonts w:ascii="仿宋" w:hAnsi="仿宋" w:eastAsia="仿宋" w:cs="仿宋"/>
          <w:sz w:val="28"/>
          <w:szCs w:val="28"/>
        </w:rPr>
      </w:pPr>
      <w:r>
        <w:rPr>
          <w:rFonts w:hint="eastAsia" w:ascii="仿宋" w:hAnsi="仿宋" w:eastAsia="仿宋" w:cs="仿宋"/>
          <w:sz w:val="28"/>
          <w:szCs w:val="28"/>
        </w:rPr>
        <w:t>1.法定代表人为企业事业单位、国家机关、社会团体的主要行政负责人。</w:t>
      </w:r>
    </w:p>
    <w:p>
      <w:pPr>
        <w:ind w:firstLine="560" w:firstLineChars="200"/>
        <w:jc w:val="left"/>
        <w:rPr>
          <w:rFonts w:ascii="仿宋" w:hAnsi="仿宋" w:eastAsia="仿宋"/>
          <w:b/>
          <w:bCs/>
          <w:sz w:val="32"/>
          <w:szCs w:val="40"/>
        </w:rPr>
      </w:pP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4445" t="4445" r="15240" b="9525"/>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wps:spPr>
                      <wps:txbx>
                        <w:txbxContent>
                          <w:p/>
                          <w:p/>
                          <w:p/>
                          <w:p/>
                          <w:p>
                            <w:pPr>
                              <w:jc w:val="center"/>
                            </w:pPr>
                            <w:r>
                              <w:rPr>
                                <w:rFonts w:hint="eastAsia"/>
                              </w:rPr>
                              <w:t>附：法定代表人</w:t>
                            </w:r>
                            <w:r>
                              <w:rPr>
                                <w:rFonts w:hint="eastAsia"/>
                                <w:szCs w:val="22"/>
                              </w:rPr>
                              <w:t>（负责人）</w:t>
                            </w:r>
                            <w:r>
                              <w:rPr>
                                <w:rFonts w:hint="eastAsia"/>
                              </w:rPr>
                              <w:t>身份证扫描件（正反面）</w:t>
                            </w:r>
                          </w:p>
                        </w:txbxContent>
                      </wps:txbx>
                      <wps:bodyPr upright="true"/>
                    </wps:wsp>
                  </a:graphicData>
                </a:graphic>
              </wp:anchor>
            </w:drawing>
          </mc:Choice>
          <mc:Fallback>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PyYVXjaAAAACwEAAA8AAAAAAAAAAQAgAAAAOAAAAGRycy9kb3ducmV2LnhtbFBLAQIUABQAAAAI&#10;AIdO4kApkE7UDgIAAAwEAAAOAAAAAAAAAAEAIAAAAD8BAABkcnMvZTJvRG9jLnhtbFBLBQYAAAAA&#10;BgAGAFkBAAC/BQAAAAA=&#10;">
                <v:fill on="t" focussize="0,0"/>
                <v:stroke color="#000000" joinstyle="round" dashstyle="1 1" endcap="round"/>
                <v:imagedata o:title=""/>
                <o:lock v:ext="edit" aspectratio="f"/>
                <v:textbox>
                  <w:txbxContent>
                    <w:p/>
                    <w:p/>
                    <w:p/>
                    <w:p/>
                    <w:p>
                      <w:pPr>
                        <w:jc w:val="center"/>
                      </w:pPr>
                      <w:r>
                        <w:rPr>
                          <w:rFonts w:hint="eastAsia"/>
                        </w:rPr>
                        <w:t>附：法定代表人</w:t>
                      </w:r>
                      <w:r>
                        <w:rPr>
                          <w:rFonts w:hint="eastAsia"/>
                          <w:szCs w:val="22"/>
                        </w:rPr>
                        <w:t>（负责人）</w:t>
                      </w:r>
                      <w:r>
                        <w:rPr>
                          <w:rFonts w:hint="eastAsia"/>
                        </w:rPr>
                        <w:t>身份证扫描件（正反面）</w:t>
                      </w:r>
                    </w:p>
                  </w:txbxContent>
                </v:textbox>
              </v:roundrect>
            </w:pict>
          </mc:Fallback>
        </mc:AlternateContent>
      </w:r>
      <w:r>
        <w:rPr>
          <w:rFonts w:hint="eastAsia" w:ascii="仿宋" w:hAnsi="仿宋" w:eastAsia="仿宋" w:cs="仿宋"/>
          <w:sz w:val="28"/>
          <w:szCs w:val="28"/>
        </w:rPr>
        <w:t>2.内容必须填写真实、清楚，涂改无效，不得转让、买卖。</w:t>
      </w:r>
      <w:r>
        <w:rPr>
          <w:rFonts w:hint="eastAsia" w:ascii="仿宋" w:hAnsi="仿宋" w:eastAsia="仿宋" w:cs="仿宋"/>
          <w:sz w:val="28"/>
          <w:szCs w:val="28"/>
        </w:rPr>
        <w:br w:type="page"/>
      </w:r>
      <w:r>
        <w:rPr>
          <w:rFonts w:hint="eastAsia" w:ascii="仿宋" w:hAnsi="仿宋" w:eastAsia="仿宋" w:cs="宋体"/>
          <w:b/>
          <w:bCs/>
          <w:sz w:val="32"/>
          <w:szCs w:val="40"/>
        </w:rPr>
        <w:t>附件3</w:t>
      </w:r>
    </w:p>
    <w:p>
      <w:pPr>
        <w:jc w:val="center"/>
        <w:rPr>
          <w:rFonts w:ascii="仿宋" w:hAnsi="仿宋" w:eastAsia="仿宋" w:cs="仿宋"/>
        </w:rPr>
      </w:pPr>
      <w:r>
        <w:rPr>
          <w:rFonts w:hint="eastAsia" w:ascii="仿宋" w:hAnsi="仿宋" w:eastAsia="仿宋"/>
          <w:b/>
          <w:bCs/>
          <w:sz w:val="32"/>
          <w:szCs w:val="40"/>
        </w:rPr>
        <w:t>投标文件签署授权委托书格式</w:t>
      </w:r>
    </w:p>
    <w:p>
      <w:pPr>
        <w:ind w:firstLine="560" w:firstLineChars="200"/>
        <w:rPr>
          <w:rFonts w:ascii="仿宋" w:hAnsi="仿宋" w:eastAsia="仿宋" w:cs="仿宋"/>
          <w:sz w:val="28"/>
          <w:szCs w:val="32"/>
        </w:rPr>
      </w:pPr>
      <w:r>
        <w:rPr>
          <w:rFonts w:hint="eastAsia" w:ascii="仿宋" w:hAnsi="仿宋" w:eastAsia="仿宋" w:cs="仿宋"/>
          <w:sz w:val="28"/>
          <w:szCs w:val="32"/>
        </w:rPr>
        <w:t>本授权委托书声明：我</w:t>
      </w:r>
      <w:r>
        <w:rPr>
          <w:rFonts w:hint="eastAsia" w:ascii="仿宋" w:hAnsi="仿宋" w:eastAsia="仿宋" w:cs="仿宋"/>
          <w:sz w:val="28"/>
          <w:szCs w:val="32"/>
          <w:u w:val="single"/>
        </w:rPr>
        <w:t xml:space="preserve">           </w:t>
      </w:r>
      <w:r>
        <w:rPr>
          <w:rFonts w:hint="eastAsia" w:ascii="仿宋" w:hAnsi="仿宋" w:eastAsia="仿宋" w:cs="仿宋"/>
          <w:sz w:val="28"/>
          <w:szCs w:val="32"/>
        </w:rPr>
        <w:t>（姓名）系</w:t>
      </w:r>
      <w:r>
        <w:rPr>
          <w:rFonts w:hint="eastAsia" w:ascii="仿宋" w:hAnsi="仿宋" w:eastAsia="仿宋" w:cs="仿宋"/>
          <w:sz w:val="28"/>
          <w:szCs w:val="32"/>
          <w:u w:val="single"/>
        </w:rPr>
        <w:t xml:space="preserve">             </w:t>
      </w:r>
      <w:r>
        <w:rPr>
          <w:rFonts w:hint="eastAsia" w:ascii="仿宋" w:hAnsi="仿宋" w:eastAsia="仿宋" w:cs="仿宋"/>
          <w:sz w:val="28"/>
          <w:szCs w:val="32"/>
        </w:rPr>
        <w:t>（投标人名称）的法定代表人（负责人），现授权委托的</w:t>
      </w:r>
      <w:r>
        <w:rPr>
          <w:rFonts w:hint="eastAsia" w:ascii="仿宋" w:hAnsi="仿宋" w:eastAsia="仿宋" w:cs="仿宋"/>
          <w:sz w:val="28"/>
          <w:szCs w:val="32"/>
          <w:u w:val="single"/>
        </w:rPr>
        <w:t xml:space="preserve">            </w:t>
      </w:r>
      <w:r>
        <w:rPr>
          <w:rFonts w:hint="eastAsia" w:ascii="仿宋" w:hAnsi="仿宋" w:eastAsia="仿宋" w:cs="仿宋"/>
          <w:sz w:val="28"/>
          <w:szCs w:val="32"/>
        </w:rPr>
        <w:t>（姓名）为我公司签署本项目已递交的投标文件的法定代表人（负责人）的授权委托代理人，代理人全权代表我所签署的本项目已递交的投标文件内容我均承认。</w:t>
      </w:r>
    </w:p>
    <w:p>
      <w:pPr>
        <w:ind w:firstLine="560" w:firstLineChars="200"/>
        <w:rPr>
          <w:rFonts w:ascii="仿宋" w:hAnsi="仿宋" w:eastAsia="仿宋" w:cs="仿宋"/>
          <w:sz w:val="28"/>
          <w:szCs w:val="32"/>
        </w:rPr>
      </w:pPr>
      <w:r>
        <w:rPr>
          <w:rFonts w:hint="eastAsia" w:ascii="仿宋" w:hAnsi="仿宋" w:eastAsia="仿宋" w:cs="仿宋"/>
          <w:sz w:val="28"/>
          <w:szCs w:val="32"/>
        </w:rPr>
        <w:t>代理人无转委托权，特此委托。</w:t>
      </w:r>
    </w:p>
    <w:p>
      <w:pPr>
        <w:rPr>
          <w:rFonts w:ascii="仿宋" w:hAnsi="仿宋" w:eastAsia="仿宋" w:cs="仿宋"/>
          <w:sz w:val="24"/>
          <w:szCs w:val="28"/>
        </w:rPr>
      </w:pP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代理人：</w:t>
      </w: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职务：</w:t>
      </w: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详细通讯地址：</w:t>
      </w: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邮政编码：</w:t>
      </w: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电话：</w:t>
      </w: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移动电话：</w:t>
      </w: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传真：</w:t>
      </w: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投标人：</w:t>
      </w: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法定代表人</w:t>
      </w:r>
      <w:r>
        <w:rPr>
          <w:rFonts w:hint="eastAsia" w:ascii="仿宋" w:hAnsi="仿宋" w:eastAsia="仿宋" w:cs="仿宋"/>
          <w:sz w:val="28"/>
          <w:szCs w:val="32"/>
        </w:rPr>
        <w:t>（负责人）（签名或盖章）</w:t>
      </w:r>
      <w:r>
        <w:rPr>
          <w:rFonts w:hint="eastAsia" w:ascii="仿宋" w:hAnsi="仿宋" w:eastAsia="仿宋" w:cs="仿宋"/>
          <w:sz w:val="28"/>
          <w:szCs w:val="36"/>
        </w:rPr>
        <w:t>：</w:t>
      </w: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授权委托日期：         年     月       日</w:t>
      </w:r>
    </w:p>
    <w:p>
      <w:pPr>
        <w:rPr>
          <w:rFonts w:ascii="仿宋" w:hAnsi="仿宋" w:eastAsia="仿宋" w:cs="仿宋"/>
          <w:b/>
          <w:bCs/>
          <w:sz w:val="40"/>
          <w:szCs w:val="48"/>
        </w:rPr>
      </w:pPr>
      <w:r>
        <w:rPr>
          <w:rFonts w:hint="eastAsia" w:ascii="仿宋" w:hAnsi="仿宋" w:eastAsia="仿宋" w:cs="仿宋"/>
          <w:sz w:val="24"/>
          <w:szCs w:val="32"/>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4445" t="4445" r="15240" b="9525"/>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wps:spPr>
                      <wps:txbx>
                        <w:txbxContent>
                          <w:p/>
                          <w:p/>
                          <w:p/>
                          <w:p/>
                          <w:p>
                            <w:pPr>
                              <w:jc w:val="center"/>
                            </w:pPr>
                            <w:r>
                              <w:rPr>
                                <w:rFonts w:hint="eastAsia"/>
                              </w:rPr>
                              <w:t>附：代理人身份证扫描件（正反面）</w:t>
                            </w:r>
                          </w:p>
                        </w:txbxContent>
                      </wps:txbx>
                      <wps:bodyPr upright="true"/>
                    </wps:wsp>
                  </a:graphicData>
                </a:graphic>
              </wp:anchor>
            </w:drawing>
          </mc:Choice>
          <mc:Fallback>
            <w:pict>
              <v:roundrect id="_x0000_s1026" o:spid="_x0000_s1026" o:spt="2" style="position:absolute;left:0pt;margin-left:77.15pt;margin-top:55.8pt;height:141.4pt;width:254.95pt;z-index:251660288;mso-width-relative:page;mso-height-relative:page;" fillcolor="#FFFFFF" filled="t" stroked="t" coordsize="21600,21600" arcsize="0.166666666666667" o:gfxdata="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Ae&#10;UQ8x2gAAAAsBAAAPAAAAAAAAAAEAIAAAADgAAABkcnMvZG93bnJldi54bWxQSwECFAAUAAAACACH&#10;TuJAeTYcSAwCAAAMBAAADgAAAAAAAAABACAAAAA/AQAAZHJzL2Uyb0RvYy54bWxQSwUGAAAAAAYA&#10;BgBZAQAAvQUAAAAA&#10;">
                <v:fill on="t" focussize="0,0"/>
                <v:stroke color="#000000" joinstyle="round" dashstyle="1 1" endcap="round"/>
                <v:imagedata o:title=""/>
                <o:lock v:ext="edit" aspectratio="f"/>
                <v:textbox>
                  <w:txbxContent>
                    <w:p/>
                    <w:p/>
                    <w:p/>
                    <w:p/>
                    <w:p>
                      <w:pPr>
                        <w:jc w:val="center"/>
                      </w:pPr>
                      <w:r>
                        <w:rPr>
                          <w:rFonts w:hint="eastAsia"/>
                        </w:rPr>
                        <w:t>附：代理人身份证扫描件（正反面）</w:t>
                      </w:r>
                    </w:p>
                  </w:txbxContent>
                </v:textbox>
              </v:roundrect>
            </w:pict>
          </mc:Fallback>
        </mc:AlternateContent>
      </w:r>
      <w:r>
        <w:rPr>
          <w:rFonts w:hint="eastAsia" w:ascii="仿宋" w:hAnsi="仿宋" w:eastAsia="仿宋" w:cs="仿宋"/>
          <w:sz w:val="24"/>
          <w:szCs w:val="32"/>
        </w:rPr>
        <w:br w:type="page"/>
      </w:r>
    </w:p>
    <w:p>
      <w:pPr>
        <w:jc w:val="left"/>
        <w:rPr>
          <w:rFonts w:ascii="仿宋" w:hAnsi="仿宋" w:eastAsia="仿宋" w:cs="宋体"/>
          <w:b/>
          <w:bCs/>
          <w:sz w:val="32"/>
          <w:szCs w:val="40"/>
        </w:rPr>
      </w:pPr>
      <w:r>
        <w:rPr>
          <w:rFonts w:hint="eastAsia" w:ascii="仿宋" w:hAnsi="仿宋" w:eastAsia="仿宋" w:cs="宋体"/>
          <w:b/>
          <w:bCs/>
          <w:sz w:val="32"/>
          <w:szCs w:val="40"/>
        </w:rPr>
        <w:t>附件4</w:t>
      </w:r>
    </w:p>
    <w:p>
      <w:pPr>
        <w:jc w:val="center"/>
        <w:rPr>
          <w:rFonts w:ascii="仿宋" w:hAnsi="仿宋" w:eastAsia="仿宋" w:cs="仿宋"/>
        </w:rPr>
      </w:pPr>
      <w:r>
        <w:rPr>
          <w:rFonts w:hint="eastAsia" w:ascii="仿宋" w:hAnsi="仿宋" w:eastAsia="仿宋"/>
          <w:b/>
          <w:bCs/>
          <w:sz w:val="32"/>
          <w:szCs w:val="40"/>
        </w:rPr>
        <w:t>中小企业声明函、残疾人福利性单位声明函、监狱企业声明函格式（根据实际情况进行填写）</w:t>
      </w:r>
    </w:p>
    <w:p>
      <w:pPr>
        <w:ind w:left="602"/>
        <w:jc w:val="center"/>
        <w:rPr>
          <w:rFonts w:ascii="仿宋" w:hAnsi="仿宋" w:eastAsia="仿宋" w:cs="仿宋"/>
          <w:b/>
          <w:sz w:val="30"/>
          <w:szCs w:val="30"/>
        </w:rPr>
      </w:pPr>
      <w:r>
        <w:rPr>
          <w:rFonts w:hint="eastAsia" w:ascii="仿宋" w:hAnsi="仿宋" w:eastAsia="仿宋" w:cs="仿宋"/>
          <w:b/>
          <w:sz w:val="30"/>
          <w:szCs w:val="30"/>
        </w:rPr>
        <w:t>一、中小企业声明函（仅限小型企业、微型企业）</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本公司郑重声明，根据《政府采购促进中小企业发展暂行办法》（财库〔2011〕181号）的规定，本公司为______（请填写：中型、小型、微型）企业。即本公司同时满足以下条件：</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1.根据《工业和信息化部、国家统计局、国家发展和改革委员会、财政部关于印发中小企业划型标准规定的通知》（工信部联企业〔2011〕300号）规定的划分标准，本公司为______（请填写：中型、小型、微型）企业。</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2.本公司参加</w:t>
      </w:r>
      <w:r>
        <w:rPr>
          <w:rFonts w:hint="eastAsia" w:ascii="仿宋" w:hAnsi="仿宋" w:eastAsia="仿宋" w:cs="仿宋"/>
          <w:sz w:val="28"/>
          <w:szCs w:val="28"/>
          <w:u w:val="single"/>
        </w:rPr>
        <w:t xml:space="preserve">（采购单位名称） </w:t>
      </w:r>
      <w:r>
        <w:rPr>
          <w:rFonts w:hint="eastAsia" w:ascii="仿宋" w:hAnsi="仿宋" w:eastAsia="仿宋" w:cs="仿宋"/>
          <w:sz w:val="28"/>
          <w:szCs w:val="28"/>
        </w:rPr>
        <w:t>单位的</w:t>
      </w:r>
      <w:r>
        <w:rPr>
          <w:rFonts w:hint="eastAsia" w:ascii="仿宋" w:hAnsi="仿宋" w:eastAsia="仿宋" w:cs="仿宋"/>
          <w:sz w:val="28"/>
          <w:szCs w:val="28"/>
          <w:u w:val="single"/>
        </w:rPr>
        <w:t xml:space="preserve"> （采购项目名称） </w:t>
      </w:r>
      <w:r>
        <w:rPr>
          <w:rFonts w:hint="eastAsia" w:ascii="仿宋" w:hAnsi="仿宋" w:eastAsia="仿宋" w:cs="仿宋"/>
          <w:sz w:val="28"/>
          <w:szCs w:val="28"/>
        </w:rPr>
        <w:t>项目采购活动 并提供:□本企业制造的货物;□由本企业承担工程、 提供服务;□提供其他______企业（请填写：中型、小型、微型）制造的货物（承诺人在□处打√）。本条所称货物是指单一产品采购项目中的货物，或者非单一产品采购项目中的核心产品（货物），不包括使用大型企业注册商标的货物。</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本公司对上述声明的真实性负责。若有虚假承诺，视同提供虚假资料，将依法承担相应法律责任。</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投标人（公章）： </w:t>
      </w:r>
    </w:p>
    <w:p>
      <w:pPr>
        <w:adjustRightInd w:val="0"/>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法定代表人或授权代表签名：</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日期：    年  月  日</w:t>
      </w:r>
    </w:p>
    <w:p>
      <w:pPr>
        <w:adjustRightInd w:val="0"/>
        <w:snapToGrid w:val="0"/>
        <w:spacing w:line="500" w:lineRule="exact"/>
        <w:ind w:firstLine="560" w:firstLineChars="200"/>
        <w:jc w:val="center"/>
        <w:rPr>
          <w:rFonts w:ascii="仿宋" w:hAnsi="仿宋" w:eastAsia="仿宋"/>
        </w:rPr>
      </w:pPr>
      <w:r>
        <w:rPr>
          <w:rFonts w:hint="eastAsia" w:ascii="仿宋" w:hAnsi="仿宋" w:eastAsia="仿宋" w:cs="仿宋"/>
          <w:sz w:val="28"/>
          <w:szCs w:val="28"/>
        </w:rPr>
        <w:br w:type="page"/>
      </w:r>
    </w:p>
    <w:p>
      <w:pPr>
        <w:ind w:firstLine="560" w:firstLineChars="200"/>
        <w:jc w:val="right"/>
        <w:rPr>
          <w:rFonts w:ascii="仿宋" w:hAnsi="仿宋" w:eastAsia="仿宋" w:cs="仿宋"/>
          <w:sz w:val="28"/>
          <w:szCs w:val="28"/>
        </w:rPr>
      </w:pPr>
    </w:p>
    <w:p>
      <w:pPr>
        <w:jc w:val="center"/>
        <w:rPr>
          <w:rFonts w:ascii="仿宋" w:hAnsi="仿宋" w:eastAsia="仿宋" w:cs="仿宋"/>
          <w:b/>
          <w:sz w:val="28"/>
          <w:szCs w:val="28"/>
        </w:rPr>
      </w:pPr>
      <w:r>
        <w:rPr>
          <w:rFonts w:hint="eastAsia" w:ascii="仿宋" w:hAnsi="仿宋" w:eastAsia="仿宋" w:cs="仿宋"/>
          <w:b/>
          <w:sz w:val="28"/>
          <w:szCs w:val="28"/>
        </w:rPr>
        <w:t>二、残疾人福利性单位声明函</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sz w:val="28"/>
          <w:szCs w:val="28"/>
          <w:u w:val="single"/>
        </w:rPr>
        <w:t xml:space="preserve">  （采购单位名称）  </w:t>
      </w:r>
      <w:r>
        <w:rPr>
          <w:rFonts w:hint="eastAsia" w:ascii="仿宋" w:hAnsi="仿宋" w:eastAsia="仿宋" w:cs="仿宋"/>
          <w:sz w:val="28"/>
          <w:szCs w:val="28"/>
        </w:rPr>
        <w:t>单位的</w:t>
      </w:r>
      <w:r>
        <w:rPr>
          <w:rFonts w:hint="eastAsia" w:ascii="仿宋" w:hAnsi="仿宋" w:eastAsia="仿宋" w:cs="仿宋"/>
          <w:sz w:val="28"/>
          <w:szCs w:val="28"/>
          <w:u w:val="single"/>
        </w:rPr>
        <w:t xml:space="preserve"> （采购项目名称） </w:t>
      </w:r>
      <w:r>
        <w:rPr>
          <w:rFonts w:hint="eastAsia" w:ascii="仿宋" w:hAnsi="仿宋" w:eastAsia="仿宋" w:cs="仿宋"/>
          <w:sz w:val="28"/>
          <w:szCs w:val="28"/>
        </w:rPr>
        <w:t>项目采购活动，并提供:□本单位制造的货物;□由本单位承担的工程、提供服务;□提供其他残疾人福利性单位制造的货物（承诺人在□处打√）。 本条所称货物是指单一产品采购项目中的货物，或者非单一产品采购项目中的核心产品（货物）， 不包括使用非残疾人福利性单位注册商标的货物。本单位对上述声明的真实性负责。如有虚假，将依法承担相应责任。</w:t>
      </w:r>
    </w:p>
    <w:p>
      <w:pPr>
        <w:ind w:firstLine="560" w:firstLineChars="200"/>
        <w:jc w:val="left"/>
        <w:rPr>
          <w:rFonts w:ascii="仿宋" w:hAnsi="仿宋" w:eastAsia="仿宋" w:cs="仿宋"/>
          <w:sz w:val="28"/>
          <w:szCs w:val="28"/>
        </w:rPr>
      </w:pPr>
    </w:p>
    <w:p>
      <w:pPr>
        <w:ind w:firstLine="560" w:firstLineChars="200"/>
        <w:jc w:val="left"/>
        <w:rPr>
          <w:rFonts w:ascii="仿宋" w:hAnsi="仿宋" w:eastAsia="仿宋" w:cs="仿宋"/>
          <w:sz w:val="28"/>
          <w:szCs w:val="28"/>
        </w:rPr>
      </w:pP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投标人（公章）： </w:t>
      </w:r>
    </w:p>
    <w:p>
      <w:pPr>
        <w:adjustRightInd w:val="0"/>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法定代表人或授权代表签名：</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日期：    年  月  日</w:t>
      </w:r>
    </w:p>
    <w:p>
      <w:pPr>
        <w:numPr>
          <w:ilvl w:val="0"/>
          <w:numId w:val="1"/>
        </w:numPr>
        <w:jc w:val="center"/>
        <w:rPr>
          <w:rFonts w:ascii="仿宋" w:hAnsi="仿宋" w:eastAsia="仿宋" w:cs="仿宋"/>
          <w:b/>
          <w:sz w:val="28"/>
          <w:szCs w:val="28"/>
        </w:rPr>
      </w:pPr>
      <w:r>
        <w:rPr>
          <w:rFonts w:hint="eastAsia" w:ascii="仿宋" w:hAnsi="仿宋" w:eastAsia="仿宋" w:cs="仿宋"/>
          <w:b/>
          <w:sz w:val="28"/>
          <w:szCs w:val="28"/>
        </w:rPr>
        <w:br w:type="page"/>
      </w:r>
    </w:p>
    <w:p>
      <w:pPr>
        <w:jc w:val="center"/>
        <w:rPr>
          <w:rFonts w:ascii="仿宋" w:hAnsi="仿宋" w:eastAsia="仿宋" w:cs="仿宋"/>
          <w:b/>
          <w:sz w:val="28"/>
          <w:szCs w:val="28"/>
        </w:rPr>
      </w:pPr>
      <w:r>
        <w:rPr>
          <w:rFonts w:hint="eastAsia" w:ascii="仿宋" w:hAnsi="仿宋" w:eastAsia="仿宋" w:cs="仿宋"/>
          <w:b/>
          <w:sz w:val="28"/>
          <w:szCs w:val="28"/>
        </w:rPr>
        <w:t>三、监狱企业声明函</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本单位郑重声明，根据《财政部 司法部关于政府采购支持监狱企业发展有关问题的通知》（财库〔2014〕68号）的规定，本单位为符合条件的监狱企业，且本单位参加</w:t>
      </w:r>
      <w:r>
        <w:rPr>
          <w:rFonts w:hint="eastAsia" w:ascii="仿宋" w:hAnsi="仿宋" w:eastAsia="仿宋" w:cs="仿宋"/>
          <w:sz w:val="28"/>
          <w:szCs w:val="28"/>
          <w:u w:val="single"/>
        </w:rPr>
        <w:t xml:space="preserve"> （采购单位名称） </w:t>
      </w:r>
      <w:r>
        <w:rPr>
          <w:rFonts w:hint="eastAsia" w:ascii="仿宋" w:hAnsi="仿宋" w:eastAsia="仿宋" w:cs="仿宋"/>
          <w:sz w:val="28"/>
          <w:szCs w:val="28"/>
        </w:rPr>
        <w:t>单位的</w:t>
      </w:r>
      <w:r>
        <w:rPr>
          <w:rFonts w:hint="eastAsia" w:ascii="仿宋" w:hAnsi="仿宋" w:eastAsia="仿宋" w:cs="仿宋"/>
          <w:sz w:val="28"/>
          <w:szCs w:val="28"/>
          <w:u w:val="single"/>
        </w:rPr>
        <w:t xml:space="preserve"> （采购项目名称） </w:t>
      </w:r>
      <w:r>
        <w:rPr>
          <w:rFonts w:hint="eastAsia" w:ascii="仿宋" w:hAnsi="仿宋" w:eastAsia="仿宋" w:cs="仿宋"/>
          <w:sz w:val="28"/>
          <w:szCs w:val="28"/>
        </w:rPr>
        <w:t>项目采购活动，并提供:□本单位制造的货物;□由本单位承担的工程、提供服务;□提供其他监狱企业制造的货物（承诺人在□处打√）。本条所称货物是指单一产品采购项目中的货物，或者非单一产品采购项目中的核心产品（货物）。</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附：省级以上监狱管理局、戒毒管理局（含新疆生产建设兵团）出具的监狱企业证明文件。</w:t>
      </w:r>
    </w:p>
    <w:p>
      <w:pPr>
        <w:ind w:firstLine="560" w:firstLineChars="200"/>
        <w:jc w:val="left"/>
        <w:rPr>
          <w:rFonts w:ascii="仿宋" w:hAnsi="仿宋" w:eastAsia="仿宋" w:cs="仿宋"/>
          <w:sz w:val="28"/>
          <w:szCs w:val="28"/>
        </w:rPr>
      </w:pP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投标人（公章）： </w:t>
      </w:r>
    </w:p>
    <w:p>
      <w:pPr>
        <w:adjustRightInd w:val="0"/>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法定代表人或授权代表签名：</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日期：    年  月  日</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br w:type="page"/>
      </w:r>
    </w:p>
    <w:p>
      <w:pPr>
        <w:jc w:val="left"/>
        <w:rPr>
          <w:rFonts w:ascii="仿宋" w:hAnsi="仿宋" w:eastAsia="仿宋" w:cs="宋体"/>
          <w:b/>
          <w:bCs/>
          <w:sz w:val="32"/>
          <w:szCs w:val="40"/>
        </w:rPr>
      </w:pPr>
      <w:r>
        <w:rPr>
          <w:rFonts w:hint="eastAsia" w:ascii="仿宋" w:hAnsi="仿宋" w:eastAsia="仿宋" w:cs="宋体"/>
          <w:b/>
          <w:bCs/>
          <w:sz w:val="32"/>
          <w:szCs w:val="40"/>
        </w:rPr>
        <w:t>附件5</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开标一览表</w:t>
      </w:r>
    </w:p>
    <w:p>
      <w:pPr>
        <w:ind w:right="840"/>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招标编号：</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投标人名称：</w:t>
      </w:r>
      <w:r>
        <w:rPr>
          <w:rFonts w:hint="eastAsia" w:ascii="仿宋" w:hAnsi="仿宋" w:eastAsia="仿宋" w:cs="仿宋"/>
          <w:sz w:val="28"/>
          <w:szCs w:val="28"/>
          <w:u w:val="single"/>
        </w:rPr>
        <w:t xml:space="preserve">      </w:t>
      </w:r>
    </w:p>
    <w:tbl>
      <w:tblPr>
        <w:tblStyle w:val="15"/>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2"/>
        <w:gridCol w:w="2309"/>
        <w:gridCol w:w="1373"/>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12" w:type="dxa"/>
            <w:tcBorders>
              <w:top w:val="single" w:color="auto" w:sz="4" w:space="0"/>
              <w:left w:val="single" w:color="auto" w:sz="4" w:space="0"/>
              <w:bottom w:val="single" w:color="auto" w:sz="4" w:space="0"/>
              <w:right w:val="single" w:color="auto" w:sz="4" w:space="0"/>
            </w:tcBorders>
            <w:vAlign w:val="bottom"/>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sz w:val="28"/>
                <w:szCs w:val="28"/>
              </w:rPr>
            </w:pPr>
            <w:r>
              <w:rPr>
                <w:rFonts w:hint="eastAsia" w:ascii="仿宋" w:hAnsi="仿宋" w:eastAsia="仿宋" w:cs="仿宋"/>
                <w:sz w:val="28"/>
                <w:szCs w:val="28"/>
              </w:rPr>
              <w:t>项目名称</w:t>
            </w:r>
          </w:p>
        </w:tc>
        <w:tc>
          <w:tcPr>
            <w:tcW w:w="2309" w:type="dxa"/>
            <w:tcBorders>
              <w:top w:val="single" w:color="auto" w:sz="4" w:space="0"/>
              <w:left w:val="single" w:color="auto" w:sz="4" w:space="0"/>
              <w:bottom w:val="single" w:color="auto" w:sz="4" w:space="0"/>
              <w:right w:val="single" w:color="auto" w:sz="4" w:space="0"/>
            </w:tcBorders>
            <w:vAlign w:val="bottom"/>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sz w:val="28"/>
                <w:szCs w:val="28"/>
              </w:rPr>
            </w:pPr>
            <w:r>
              <w:rPr>
                <w:rFonts w:hint="eastAsia" w:ascii="仿宋" w:hAnsi="仿宋" w:eastAsia="仿宋" w:cs="仿宋"/>
                <w:sz w:val="28"/>
                <w:szCs w:val="28"/>
              </w:rPr>
              <w:t>投标总价</w:t>
            </w:r>
          </w:p>
        </w:tc>
        <w:tc>
          <w:tcPr>
            <w:tcW w:w="1373"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sz w:val="28"/>
                <w:szCs w:val="28"/>
              </w:rPr>
            </w:pPr>
            <w:r>
              <w:rPr>
                <w:rFonts w:hint="eastAsia" w:ascii="仿宋" w:hAnsi="仿宋" w:eastAsia="仿宋" w:cs="仿宋"/>
                <w:sz w:val="28"/>
                <w:szCs w:val="28"/>
              </w:rPr>
              <w:t>服务期</w:t>
            </w:r>
          </w:p>
        </w:tc>
        <w:tc>
          <w:tcPr>
            <w:tcW w:w="1849" w:type="dxa"/>
            <w:tcBorders>
              <w:top w:val="single" w:color="auto" w:sz="4" w:space="0"/>
              <w:left w:val="single" w:color="auto" w:sz="4" w:space="0"/>
              <w:bottom w:val="single" w:color="auto" w:sz="4" w:space="0"/>
              <w:right w:val="single" w:color="auto" w:sz="4" w:space="0"/>
            </w:tcBorders>
            <w:vAlign w:val="bottom"/>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12"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p>
        </w:tc>
        <w:tc>
          <w:tcPr>
            <w:tcW w:w="2309"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大写：</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小写：</w:t>
            </w:r>
          </w:p>
        </w:tc>
        <w:tc>
          <w:tcPr>
            <w:tcW w:w="1373"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p>
        </w:tc>
        <w:tc>
          <w:tcPr>
            <w:tcW w:w="1849"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p>
        </w:tc>
      </w:tr>
    </w:tbl>
    <w:p>
      <w:pPr>
        <w:rPr>
          <w:rFonts w:ascii="仿宋" w:hAnsi="仿宋" w:eastAsia="仿宋" w:cs="仿宋"/>
          <w:sz w:val="28"/>
          <w:szCs w:val="28"/>
        </w:rPr>
      </w:pPr>
    </w:p>
    <w:p>
      <w:pPr>
        <w:rPr>
          <w:rFonts w:ascii="仿宋" w:hAnsi="仿宋" w:eastAsia="仿宋" w:cs="仿宋"/>
          <w:sz w:val="28"/>
          <w:szCs w:val="28"/>
        </w:rPr>
      </w:pP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投标人（公章）： </w:t>
      </w:r>
    </w:p>
    <w:p>
      <w:pPr>
        <w:adjustRightInd w:val="0"/>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法定代表人或授权代表签名：</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日期：    年  月  日</w:t>
      </w:r>
    </w:p>
    <w:p>
      <w:pPr>
        <w:rPr>
          <w:rFonts w:ascii="仿宋" w:hAnsi="仿宋" w:eastAsia="仿宋" w:cs="仿宋"/>
          <w:sz w:val="28"/>
          <w:szCs w:val="28"/>
        </w:rPr>
      </w:pPr>
      <w:r>
        <w:rPr>
          <w:rFonts w:hint="eastAsia" w:ascii="仿宋" w:hAnsi="仿宋" w:eastAsia="仿宋" w:cs="仿宋"/>
          <w:sz w:val="28"/>
          <w:szCs w:val="28"/>
        </w:rPr>
        <w:t>注：</w:t>
      </w:r>
    </w:p>
    <w:p>
      <w:pPr>
        <w:rPr>
          <w:rFonts w:ascii="仿宋" w:hAnsi="仿宋" w:eastAsia="仿宋" w:cs="仿宋"/>
          <w:sz w:val="28"/>
          <w:szCs w:val="28"/>
        </w:rPr>
      </w:pPr>
      <w:r>
        <w:rPr>
          <w:rFonts w:hint="eastAsia" w:ascii="仿宋" w:hAnsi="仿宋" w:eastAsia="仿宋" w:cs="仿宋"/>
          <w:sz w:val="28"/>
          <w:szCs w:val="28"/>
        </w:rPr>
        <w:t>1.此表为投标文件的组成部分，须附在正、副本的投标文件中，并另封装一份于开标信封中（信封中须同时提供法定代表人证明书、法定代表人授权委托书、被授权人身份证复印件）。</w:t>
      </w:r>
    </w:p>
    <w:p>
      <w:pPr>
        <w:rPr>
          <w:rFonts w:ascii="仿宋" w:hAnsi="仿宋" w:eastAsia="仿宋" w:cs="仿宋"/>
          <w:sz w:val="28"/>
          <w:szCs w:val="28"/>
        </w:rPr>
      </w:pPr>
      <w:r>
        <w:rPr>
          <w:rFonts w:hint="eastAsia" w:ascii="仿宋" w:hAnsi="仿宋" w:eastAsia="仿宋" w:cs="仿宋"/>
          <w:sz w:val="28"/>
          <w:szCs w:val="28"/>
        </w:rPr>
        <w:t>2.此表内投标报价为最终价，开标信封及投标文件内不得含有任何对本报价进行修改的其他说明或资料，否则为无效投标。</w:t>
      </w:r>
    </w:p>
    <w:p>
      <w:pPr>
        <w:rPr>
          <w:rFonts w:ascii="仿宋" w:hAnsi="仿宋" w:eastAsia="仿宋"/>
        </w:rPr>
      </w:pPr>
      <w:r>
        <w:rPr>
          <w:rFonts w:hint="eastAsia" w:ascii="仿宋" w:hAnsi="仿宋" w:eastAsia="仿宋"/>
        </w:rPr>
        <w:br w:type="page"/>
      </w:r>
    </w:p>
    <w:p>
      <w:pPr>
        <w:jc w:val="left"/>
        <w:rPr>
          <w:rFonts w:ascii="仿宋" w:hAnsi="仿宋" w:eastAsia="仿宋" w:cs="宋体"/>
          <w:b/>
          <w:bCs/>
          <w:sz w:val="32"/>
          <w:szCs w:val="40"/>
        </w:rPr>
      </w:pPr>
      <w:r>
        <w:rPr>
          <w:rFonts w:hint="eastAsia" w:ascii="仿宋" w:hAnsi="仿宋" w:eastAsia="仿宋" w:cs="宋体"/>
          <w:b/>
          <w:bCs/>
          <w:sz w:val="32"/>
          <w:szCs w:val="40"/>
        </w:rPr>
        <w:t>附件6</w:t>
      </w:r>
    </w:p>
    <w:p>
      <w:pPr>
        <w:jc w:val="center"/>
        <w:rPr>
          <w:rFonts w:ascii="仿宋" w:hAnsi="仿宋" w:eastAsia="仿宋"/>
          <w:b/>
          <w:bCs/>
          <w:sz w:val="32"/>
          <w:szCs w:val="40"/>
        </w:rPr>
      </w:pPr>
      <w:r>
        <w:rPr>
          <w:rFonts w:hint="eastAsia" w:ascii="仿宋" w:hAnsi="仿宋" w:eastAsia="仿宋"/>
          <w:b/>
          <w:bCs/>
          <w:sz w:val="32"/>
          <w:szCs w:val="40"/>
        </w:rPr>
        <w:t>参加政府采购活动近三年内，在经营活动中没有</w:t>
      </w:r>
    </w:p>
    <w:p>
      <w:pPr>
        <w:jc w:val="center"/>
        <w:rPr>
          <w:rFonts w:ascii="仿宋" w:hAnsi="仿宋" w:eastAsia="仿宋"/>
          <w:b/>
          <w:bCs/>
          <w:sz w:val="32"/>
          <w:szCs w:val="40"/>
        </w:rPr>
      </w:pPr>
      <w:r>
        <w:rPr>
          <w:rFonts w:hint="eastAsia" w:ascii="仿宋" w:hAnsi="仿宋" w:eastAsia="仿宋"/>
          <w:b/>
          <w:bCs/>
          <w:sz w:val="32"/>
          <w:szCs w:val="40"/>
        </w:rPr>
        <w:t>重大违法记录的声明函</w:t>
      </w:r>
    </w:p>
    <w:p>
      <w:pPr>
        <w:spacing w:line="360" w:lineRule="auto"/>
        <w:rPr>
          <w:rFonts w:ascii="仿宋" w:hAnsi="仿宋" w:eastAsia="仿宋" w:cs="仿宋"/>
          <w:sz w:val="28"/>
          <w:szCs w:val="28"/>
        </w:rPr>
      </w:pPr>
      <w:r>
        <w:rPr>
          <w:rFonts w:hint="eastAsia" w:ascii="仿宋" w:hAnsi="仿宋" w:eastAsia="仿宋" w:cs="仿宋"/>
          <w:sz w:val="28"/>
          <w:szCs w:val="28"/>
        </w:rPr>
        <w:t>致深圳市坪山区碧岭街道办事处：</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我公司在参与贵单位组织的</w:t>
      </w:r>
      <w:r>
        <w:rPr>
          <w:rFonts w:hint="eastAsia" w:ascii="仿宋" w:hAnsi="仿宋" w:eastAsia="仿宋" w:cs="仿宋"/>
          <w:sz w:val="28"/>
          <w:szCs w:val="28"/>
          <w:u w:val="single"/>
        </w:rPr>
        <w:t xml:space="preserve">       （项目名称）        </w:t>
      </w:r>
      <w:r>
        <w:rPr>
          <w:rFonts w:hint="eastAsia" w:ascii="仿宋" w:hAnsi="仿宋" w:eastAsia="仿宋" w:cs="仿宋"/>
          <w:sz w:val="28"/>
          <w:szCs w:val="28"/>
        </w:rPr>
        <w:t>（项目编号：</w:t>
      </w:r>
      <w:r>
        <w:rPr>
          <w:rFonts w:hint="eastAsia" w:ascii="仿宋" w:hAnsi="仿宋" w:eastAsia="仿宋" w:cs="仿宋"/>
          <w:sz w:val="28"/>
          <w:szCs w:val="28"/>
          <w:u w:val="single"/>
        </w:rPr>
        <w:t xml:space="preserve">          </w:t>
      </w:r>
      <w:r>
        <w:rPr>
          <w:rFonts w:hint="eastAsia" w:ascii="仿宋" w:hAnsi="仿宋" w:eastAsia="仿宋" w:cs="仿宋"/>
          <w:sz w:val="28"/>
          <w:szCs w:val="28"/>
        </w:rPr>
        <w:t>） 政府采购活动近三年内，在经营活动中没有重大违法记录。</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我公司对该声明的真实性负责，如有不实，自愿接受法律制裁</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特此声明。</w:t>
      </w:r>
    </w:p>
    <w:p>
      <w:pPr>
        <w:ind w:left="420" w:leftChars="200"/>
        <w:jc w:val="left"/>
        <w:rPr>
          <w:rFonts w:ascii="仿宋" w:hAnsi="仿宋" w:eastAsia="仿宋" w:cs="仿宋"/>
          <w:sz w:val="28"/>
          <w:szCs w:val="28"/>
        </w:rPr>
      </w:pPr>
      <w:r>
        <w:rPr>
          <w:rFonts w:hint="eastAsia" w:ascii="仿宋" w:hAnsi="仿宋" w:eastAsia="仿宋"/>
        </w:rPr>
        <w:t xml:space="preserve">                                   </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投标人（公章）： </w:t>
      </w:r>
    </w:p>
    <w:p>
      <w:pPr>
        <w:adjustRightInd w:val="0"/>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法定代表人或授权代表签名：</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日期：    年  月  日</w:t>
      </w:r>
    </w:p>
    <w:p>
      <w:pPr>
        <w:adjustRightInd w:val="0"/>
        <w:snapToGrid w:val="0"/>
        <w:spacing w:line="500" w:lineRule="exact"/>
        <w:ind w:firstLine="560" w:firstLineChars="200"/>
        <w:jc w:val="right"/>
        <w:rPr>
          <w:rFonts w:ascii="仿宋" w:hAnsi="仿宋" w:eastAsia="仿宋" w:cs="仿宋"/>
          <w:sz w:val="28"/>
          <w:szCs w:val="28"/>
        </w:rPr>
      </w:pPr>
    </w:p>
    <w:p>
      <w:pPr>
        <w:rPr>
          <w:rFonts w:ascii="仿宋" w:hAnsi="仿宋" w:eastAsia="仿宋"/>
        </w:rPr>
      </w:pPr>
      <w:r>
        <w:rPr>
          <w:rFonts w:hint="eastAsia" w:ascii="仿宋" w:hAnsi="仿宋" w:eastAsia="仿宋"/>
        </w:rPr>
        <w:br w:type="page"/>
      </w:r>
    </w:p>
    <w:p>
      <w:pPr>
        <w:jc w:val="left"/>
        <w:rPr>
          <w:rFonts w:ascii="仿宋" w:hAnsi="仿宋" w:eastAsia="仿宋" w:cs="宋体"/>
          <w:b/>
          <w:bCs/>
          <w:sz w:val="32"/>
          <w:szCs w:val="40"/>
        </w:rPr>
      </w:pPr>
      <w:r>
        <w:rPr>
          <w:rFonts w:hint="eastAsia" w:ascii="仿宋" w:hAnsi="仿宋" w:eastAsia="仿宋" w:cs="宋体"/>
          <w:b/>
          <w:bCs/>
          <w:sz w:val="32"/>
          <w:szCs w:val="40"/>
        </w:rPr>
        <w:t>附件7</w:t>
      </w:r>
    </w:p>
    <w:p>
      <w:pPr>
        <w:jc w:val="center"/>
        <w:rPr>
          <w:rFonts w:ascii="仿宋" w:hAnsi="仿宋" w:eastAsia="仿宋"/>
          <w:b/>
          <w:bCs/>
          <w:sz w:val="32"/>
          <w:szCs w:val="40"/>
        </w:rPr>
      </w:pPr>
      <w:r>
        <w:rPr>
          <w:rFonts w:hint="eastAsia" w:ascii="仿宋" w:hAnsi="仿宋" w:eastAsia="仿宋"/>
          <w:b/>
          <w:bCs/>
          <w:sz w:val="32"/>
          <w:szCs w:val="40"/>
        </w:rPr>
        <w:t xml:space="preserve">  关于不存在处于被禁止参与政府采购活动期限内情形的声明函</w:t>
      </w:r>
    </w:p>
    <w:p>
      <w:pPr>
        <w:spacing w:line="360" w:lineRule="auto"/>
        <w:rPr>
          <w:rFonts w:ascii="仿宋" w:hAnsi="仿宋" w:eastAsia="仿宋" w:cs="仿宋"/>
          <w:sz w:val="28"/>
          <w:szCs w:val="28"/>
        </w:rPr>
      </w:pPr>
      <w:r>
        <w:rPr>
          <w:rFonts w:hint="eastAsia" w:ascii="仿宋" w:hAnsi="仿宋" w:eastAsia="仿宋" w:cs="仿宋"/>
          <w:sz w:val="28"/>
          <w:szCs w:val="28"/>
        </w:rPr>
        <w:t>致深圳市坪山区碧岭街道办事处：</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我公司在参与贵单位组织的</w:t>
      </w:r>
      <w:r>
        <w:rPr>
          <w:rFonts w:hint="eastAsia" w:ascii="仿宋" w:hAnsi="仿宋" w:eastAsia="仿宋" w:cs="仿宋"/>
          <w:sz w:val="28"/>
          <w:szCs w:val="28"/>
          <w:u w:val="single"/>
        </w:rPr>
        <w:t xml:space="preserve">       （项目名称）        </w:t>
      </w:r>
      <w:r>
        <w:rPr>
          <w:rFonts w:hint="eastAsia" w:ascii="仿宋" w:hAnsi="仿宋" w:eastAsia="仿宋" w:cs="仿宋"/>
          <w:sz w:val="28"/>
          <w:szCs w:val="28"/>
        </w:rPr>
        <w:t>（项目编号：</w:t>
      </w:r>
      <w:r>
        <w:rPr>
          <w:rFonts w:hint="eastAsia" w:ascii="仿宋" w:hAnsi="仿宋" w:eastAsia="仿宋" w:cs="仿宋"/>
          <w:sz w:val="28"/>
          <w:szCs w:val="28"/>
          <w:u w:val="single"/>
        </w:rPr>
        <w:t xml:space="preserve">          </w:t>
      </w:r>
      <w:r>
        <w:rPr>
          <w:rFonts w:hint="eastAsia" w:ascii="仿宋" w:hAnsi="仿宋" w:eastAsia="仿宋" w:cs="仿宋"/>
          <w:sz w:val="28"/>
          <w:szCs w:val="28"/>
        </w:rPr>
        <w:t>） 政府采购活动时，不存在处于被禁止参与政府采购活动期限内情形。</w:t>
      </w:r>
    </w:p>
    <w:p>
      <w:pPr>
        <w:ind w:firstLine="560" w:firstLineChars="200"/>
        <w:jc w:val="left"/>
        <w:rPr>
          <w:rFonts w:ascii="仿宋" w:hAnsi="仿宋" w:eastAsia="仿宋" w:cs="仿宋"/>
          <w:sz w:val="32"/>
          <w:szCs w:val="32"/>
        </w:rPr>
      </w:pPr>
      <w:r>
        <w:rPr>
          <w:rFonts w:hint="eastAsia" w:ascii="仿宋" w:hAnsi="仿宋" w:eastAsia="仿宋" w:cs="仿宋"/>
          <w:sz w:val="28"/>
          <w:szCs w:val="28"/>
        </w:rPr>
        <w:t>我公司对该声明的真实性负责，如有不实，自愿接受法律制裁</w:t>
      </w:r>
      <w:r>
        <w:rPr>
          <w:rFonts w:hint="eastAsia" w:ascii="仿宋" w:hAnsi="仿宋" w:eastAsia="仿宋" w:cs="仿宋"/>
          <w:sz w:val="32"/>
          <w:szCs w:val="32"/>
        </w:rPr>
        <w:t>。</w:t>
      </w:r>
    </w:p>
    <w:p>
      <w:pPr>
        <w:ind w:left="420" w:leftChars="200"/>
        <w:jc w:val="left"/>
        <w:rPr>
          <w:rFonts w:ascii="仿宋" w:hAnsi="仿宋" w:eastAsia="仿宋" w:cs="仿宋"/>
          <w:sz w:val="28"/>
          <w:szCs w:val="28"/>
        </w:rPr>
      </w:pP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投标人（公章）： </w:t>
      </w:r>
    </w:p>
    <w:p>
      <w:pPr>
        <w:adjustRightInd w:val="0"/>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法定代表人或授权代表签名：</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日期：    年  月  日</w:t>
      </w:r>
    </w:p>
    <w:p>
      <w:pPr>
        <w:adjustRightInd w:val="0"/>
        <w:snapToGrid w:val="0"/>
        <w:spacing w:line="500" w:lineRule="exact"/>
        <w:ind w:firstLine="560" w:firstLineChars="200"/>
        <w:jc w:val="right"/>
        <w:rPr>
          <w:rFonts w:ascii="仿宋" w:hAnsi="仿宋" w:eastAsia="仿宋" w:cs="仿宋"/>
          <w:sz w:val="28"/>
          <w:szCs w:val="28"/>
        </w:rPr>
      </w:pPr>
    </w:p>
    <w:p>
      <w:pPr>
        <w:spacing w:line="360" w:lineRule="auto"/>
        <w:rPr>
          <w:rFonts w:ascii="仿宋" w:hAnsi="仿宋" w:eastAsia="仿宋" w:cs="仿宋"/>
          <w:b/>
          <w:sz w:val="24"/>
        </w:rPr>
      </w:pPr>
    </w:p>
    <w:p>
      <w:pPr>
        <w:widowControl/>
        <w:adjustRightInd w:val="0"/>
        <w:snapToGrid w:val="0"/>
        <w:spacing w:line="500" w:lineRule="exact"/>
        <w:ind w:firstLine="2871" w:firstLineChars="650"/>
        <w:rPr>
          <w:rFonts w:ascii="仿宋" w:hAnsi="仿宋" w:eastAsia="仿宋" w:cs="仿宋"/>
          <w:b/>
          <w:bCs/>
          <w:sz w:val="44"/>
          <w:szCs w:val="44"/>
        </w:rPr>
      </w:pPr>
    </w:p>
    <w:p>
      <w:pPr>
        <w:widowControl/>
        <w:adjustRightInd w:val="0"/>
        <w:snapToGrid w:val="0"/>
        <w:spacing w:line="500" w:lineRule="exact"/>
        <w:ind w:firstLine="2871" w:firstLineChars="650"/>
        <w:rPr>
          <w:rFonts w:ascii="仿宋" w:hAnsi="仿宋" w:eastAsia="仿宋" w:cs="仿宋"/>
          <w:b/>
          <w:bCs/>
          <w:sz w:val="44"/>
          <w:szCs w:val="44"/>
        </w:rPr>
      </w:pPr>
    </w:p>
    <w:p>
      <w:pPr>
        <w:rPr>
          <w:rFonts w:ascii="仿宋" w:hAnsi="仿宋" w:eastAsia="仿宋" w:cs="仿宋"/>
          <w:b/>
          <w:bCs/>
          <w:sz w:val="44"/>
          <w:szCs w:val="44"/>
        </w:rPr>
      </w:pPr>
    </w:p>
    <w:p>
      <w:pPr>
        <w:spacing w:line="360" w:lineRule="auto"/>
        <w:rPr>
          <w:rFonts w:ascii="仿宋" w:hAnsi="仿宋" w:eastAsia="仿宋" w:cs="仿宋"/>
          <w:b/>
          <w:bCs/>
          <w:kern w:val="0"/>
          <w:sz w:val="24"/>
        </w:rPr>
      </w:pPr>
    </w:p>
    <w:p>
      <w:pPr>
        <w:rPr>
          <w:rFonts w:ascii="仿宋" w:hAnsi="仿宋" w:eastAsia="仿宋"/>
        </w:rPr>
      </w:pPr>
    </w:p>
    <w:p>
      <w:pPr>
        <w:widowControl/>
        <w:adjustRightInd w:val="0"/>
        <w:snapToGrid w:val="0"/>
        <w:spacing w:line="500" w:lineRule="exact"/>
        <w:ind w:firstLine="2871" w:firstLineChars="650"/>
        <w:rPr>
          <w:rFonts w:ascii="仿宋" w:hAnsi="仿宋" w:eastAsia="仿宋" w:cs="仿宋"/>
          <w:b/>
          <w:bCs/>
          <w:sz w:val="44"/>
          <w:szCs w:val="44"/>
        </w:rPr>
      </w:pPr>
      <w:r>
        <w:rPr>
          <w:rFonts w:hint="eastAsia" w:ascii="仿宋" w:hAnsi="仿宋" w:eastAsia="仿宋" w:cs="仿宋"/>
          <w:b/>
          <w:bCs/>
          <w:sz w:val="44"/>
          <w:szCs w:val="44"/>
        </w:rPr>
        <w:br w:type="page"/>
      </w:r>
    </w:p>
    <w:p>
      <w:pPr>
        <w:jc w:val="left"/>
        <w:rPr>
          <w:rFonts w:ascii="仿宋" w:hAnsi="仿宋" w:eastAsia="仿宋" w:cs="宋体"/>
          <w:b/>
          <w:bCs/>
          <w:sz w:val="32"/>
          <w:szCs w:val="40"/>
        </w:rPr>
      </w:pPr>
      <w:r>
        <w:rPr>
          <w:rFonts w:hint="eastAsia" w:ascii="仿宋" w:hAnsi="仿宋" w:eastAsia="仿宋" w:cs="宋体"/>
          <w:b/>
          <w:bCs/>
          <w:sz w:val="32"/>
          <w:szCs w:val="40"/>
        </w:rPr>
        <w:t>附件8</w:t>
      </w:r>
    </w:p>
    <w:p>
      <w:pPr>
        <w:widowControl/>
        <w:adjustRightInd w:val="0"/>
        <w:snapToGrid w:val="0"/>
        <w:spacing w:line="500" w:lineRule="exact"/>
        <w:jc w:val="center"/>
        <w:rPr>
          <w:rFonts w:ascii="仿宋" w:hAnsi="仿宋" w:eastAsia="仿宋" w:cs="仿宋"/>
          <w:sz w:val="28"/>
          <w:szCs w:val="28"/>
        </w:rPr>
      </w:pPr>
      <w:r>
        <w:rPr>
          <w:rFonts w:hint="eastAsia" w:ascii="仿宋" w:hAnsi="仿宋" w:eastAsia="仿宋" w:cs="仿宋"/>
          <w:b/>
          <w:bCs/>
          <w:sz w:val="32"/>
          <w:szCs w:val="32"/>
        </w:rPr>
        <w:t>投标承诺书</w:t>
      </w:r>
    </w:p>
    <w:p>
      <w:pPr>
        <w:adjustRightInd w:val="0"/>
        <w:snapToGrid w:val="0"/>
        <w:spacing w:line="500" w:lineRule="exact"/>
        <w:ind w:right="-218" w:rightChars="-104"/>
        <w:rPr>
          <w:rFonts w:ascii="仿宋" w:hAnsi="仿宋" w:eastAsia="仿宋" w:cs="仿宋"/>
          <w:sz w:val="28"/>
          <w:szCs w:val="28"/>
          <w:u w:val="single"/>
        </w:rPr>
      </w:pPr>
      <w:r>
        <w:rPr>
          <w:rFonts w:hint="eastAsia" w:ascii="仿宋" w:hAnsi="仿宋" w:eastAsia="仿宋" w:cs="仿宋"/>
          <w:sz w:val="28"/>
          <w:szCs w:val="28"/>
        </w:rPr>
        <w:t>致深圳市坪山区碧岭街道办事处：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我方决定参加贵方项目的竞标邀请，并完全接受贵方对该项目的具体要求和标准等所有内容。为此,我方作出如下承诺：</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1.我方完全了解本项目的具体情况、费用、质量水平、标准和中标方式等，并保证严格按照相关标准实施。</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2.我方同意参与竞标，并保证在规定时间内将密封的竞标资料送碧岭街道办事处采购单位。</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3.我方同意本项目在符合采购需求、质量和服务且综合评分最高的情况下确定中标单位。</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4.如我方中标，我方保证派出合格的项目管理班子及专业技术人员组织本项目的实施。</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如我方中标后不能按采购单位要求提供货物或服务的，应在收到采购单位通知后10日（工作日）内予以答复处理，如10日内不予答复处理或在答复期限满后20日（工作日）内不予处理的，采购单位可以不予验收，并对相关项目重新进行采购。同时，三年内不参与碧岭街道办事处任何采购项目的报名投标。</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6.我方保证严格执行有关法律、法规、规章、规范性文件的规定,未经招标人同意不自行挂靠、转包、分包第三方。</w:t>
      </w:r>
    </w:p>
    <w:p>
      <w:pPr>
        <w:adjustRightInd w:val="0"/>
        <w:snapToGrid w:val="0"/>
        <w:spacing w:line="500" w:lineRule="exact"/>
        <w:rPr>
          <w:rFonts w:ascii="仿宋" w:hAnsi="仿宋" w:eastAsia="仿宋" w:cs="仿宋"/>
          <w:sz w:val="28"/>
          <w:szCs w:val="28"/>
        </w:rPr>
      </w:pP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投标人（公章）： </w:t>
      </w:r>
    </w:p>
    <w:p>
      <w:pPr>
        <w:adjustRightInd w:val="0"/>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法定代表人或授权代表签名：</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日期：    年  月  日</w:t>
      </w:r>
    </w:p>
    <w:p>
      <w:pPr>
        <w:adjustRightInd w:val="0"/>
        <w:snapToGrid w:val="0"/>
        <w:spacing w:line="500" w:lineRule="exact"/>
        <w:ind w:firstLine="560" w:firstLineChars="200"/>
        <w:jc w:val="right"/>
        <w:rPr>
          <w:rFonts w:ascii="仿宋" w:hAnsi="仿宋" w:eastAsia="仿宋" w:cs="仿宋"/>
          <w:sz w:val="28"/>
          <w:szCs w:val="28"/>
        </w:rPr>
      </w:pPr>
    </w:p>
    <w:p>
      <w:pPr>
        <w:adjustRightInd w:val="0"/>
        <w:snapToGrid w:val="0"/>
        <w:spacing w:line="500" w:lineRule="exact"/>
        <w:jc w:val="center"/>
        <w:rPr>
          <w:rFonts w:ascii="仿宋" w:hAnsi="仿宋" w:eastAsia="仿宋" w:cs="仿宋"/>
          <w:sz w:val="28"/>
          <w:szCs w:val="28"/>
        </w:rPr>
      </w:pPr>
    </w:p>
    <w:p>
      <w:pPr>
        <w:adjustRightInd w:val="0"/>
        <w:snapToGrid w:val="0"/>
        <w:spacing w:line="500" w:lineRule="exact"/>
        <w:ind w:right="280" w:firstLine="560" w:firstLineChars="200"/>
        <w:jc w:val="right"/>
        <w:rPr>
          <w:rFonts w:ascii="仿宋" w:hAnsi="仿宋" w:eastAsia="仿宋" w:cs="仿宋"/>
          <w:sz w:val="28"/>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华文仿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00"/>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11"/>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1D343F"/>
    <w:multiLevelType w:val="multilevel"/>
    <w:tmpl w:val="571D343F"/>
    <w:lvl w:ilvl="0" w:tentative="0">
      <w:start w:val="1"/>
      <w:numFmt w:val="decimal"/>
      <w:suff w:val="space"/>
      <w:lvlText w:val="（%1）"/>
      <w:lvlJc w:val="left"/>
      <w:pPr>
        <w:ind w:left="1682" w:hanging="108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OTIwZjFkOGEzZTBiM2ZiZDQyMDBjOWQwMGRiMTUifQ=="/>
  </w:docVars>
  <w:rsids>
    <w:rsidRoot w:val="008A3B1F"/>
    <w:rsid w:val="00046A2B"/>
    <w:rsid w:val="00047C7E"/>
    <w:rsid w:val="000517C5"/>
    <w:rsid w:val="000C2147"/>
    <w:rsid w:val="000D22B2"/>
    <w:rsid w:val="000D7169"/>
    <w:rsid w:val="000E4F2E"/>
    <w:rsid w:val="001043C5"/>
    <w:rsid w:val="00134F39"/>
    <w:rsid w:val="001478FE"/>
    <w:rsid w:val="00175EBD"/>
    <w:rsid w:val="001B0BD8"/>
    <w:rsid w:val="001C0094"/>
    <w:rsid w:val="001C50BE"/>
    <w:rsid w:val="001D5847"/>
    <w:rsid w:val="002016C3"/>
    <w:rsid w:val="002E2C55"/>
    <w:rsid w:val="002F13B5"/>
    <w:rsid w:val="00322649"/>
    <w:rsid w:val="003429D5"/>
    <w:rsid w:val="00394299"/>
    <w:rsid w:val="003B4BDD"/>
    <w:rsid w:val="003B5ADE"/>
    <w:rsid w:val="003E4508"/>
    <w:rsid w:val="003F21BA"/>
    <w:rsid w:val="003F30AC"/>
    <w:rsid w:val="00451440"/>
    <w:rsid w:val="004931E3"/>
    <w:rsid w:val="005173AA"/>
    <w:rsid w:val="005A2D45"/>
    <w:rsid w:val="005F38BD"/>
    <w:rsid w:val="005F4821"/>
    <w:rsid w:val="0061155F"/>
    <w:rsid w:val="006217A7"/>
    <w:rsid w:val="006226B3"/>
    <w:rsid w:val="00623DAD"/>
    <w:rsid w:val="00644A29"/>
    <w:rsid w:val="006450F6"/>
    <w:rsid w:val="00661591"/>
    <w:rsid w:val="00687E1E"/>
    <w:rsid w:val="006A3220"/>
    <w:rsid w:val="006E6558"/>
    <w:rsid w:val="00727FEE"/>
    <w:rsid w:val="00763502"/>
    <w:rsid w:val="00775322"/>
    <w:rsid w:val="0078257B"/>
    <w:rsid w:val="007B1632"/>
    <w:rsid w:val="007C42F9"/>
    <w:rsid w:val="007D0A69"/>
    <w:rsid w:val="007D11E0"/>
    <w:rsid w:val="008048F2"/>
    <w:rsid w:val="00804AE4"/>
    <w:rsid w:val="00846B19"/>
    <w:rsid w:val="008478CD"/>
    <w:rsid w:val="00866503"/>
    <w:rsid w:val="00885BA6"/>
    <w:rsid w:val="00897503"/>
    <w:rsid w:val="008A3B1F"/>
    <w:rsid w:val="00914DBC"/>
    <w:rsid w:val="009E7D84"/>
    <w:rsid w:val="00A00621"/>
    <w:rsid w:val="00A1368C"/>
    <w:rsid w:val="00A356EF"/>
    <w:rsid w:val="00AB437E"/>
    <w:rsid w:val="00B50FAD"/>
    <w:rsid w:val="00B54FEB"/>
    <w:rsid w:val="00B65AB8"/>
    <w:rsid w:val="00B9594A"/>
    <w:rsid w:val="00BA2184"/>
    <w:rsid w:val="00C331F4"/>
    <w:rsid w:val="00C35026"/>
    <w:rsid w:val="00C57FD0"/>
    <w:rsid w:val="00C76CFB"/>
    <w:rsid w:val="00CC3E8E"/>
    <w:rsid w:val="00CC68D2"/>
    <w:rsid w:val="00D1343F"/>
    <w:rsid w:val="00D1605E"/>
    <w:rsid w:val="00D20484"/>
    <w:rsid w:val="00D30E11"/>
    <w:rsid w:val="00D44722"/>
    <w:rsid w:val="00D65AC8"/>
    <w:rsid w:val="00D66F78"/>
    <w:rsid w:val="00D768C8"/>
    <w:rsid w:val="00DC4C46"/>
    <w:rsid w:val="00E1538A"/>
    <w:rsid w:val="00E42155"/>
    <w:rsid w:val="00E4464A"/>
    <w:rsid w:val="00E60958"/>
    <w:rsid w:val="00EB40EF"/>
    <w:rsid w:val="00F20D5D"/>
    <w:rsid w:val="00F654B0"/>
    <w:rsid w:val="01635453"/>
    <w:rsid w:val="03CF4132"/>
    <w:rsid w:val="09350950"/>
    <w:rsid w:val="0C3E508A"/>
    <w:rsid w:val="0D207AB0"/>
    <w:rsid w:val="0DD8591F"/>
    <w:rsid w:val="13FF19F4"/>
    <w:rsid w:val="15723B7B"/>
    <w:rsid w:val="187E164C"/>
    <w:rsid w:val="1A65017F"/>
    <w:rsid w:val="1CBF2F0B"/>
    <w:rsid w:val="1F755C86"/>
    <w:rsid w:val="1F8B6314"/>
    <w:rsid w:val="1F937535"/>
    <w:rsid w:val="202910A6"/>
    <w:rsid w:val="25AC2904"/>
    <w:rsid w:val="2D1521AC"/>
    <w:rsid w:val="2E1F60FA"/>
    <w:rsid w:val="2EFF2371"/>
    <w:rsid w:val="2F407907"/>
    <w:rsid w:val="2F5E5CAD"/>
    <w:rsid w:val="2FF15973"/>
    <w:rsid w:val="3069442D"/>
    <w:rsid w:val="3276CA66"/>
    <w:rsid w:val="337D37B3"/>
    <w:rsid w:val="395F5200"/>
    <w:rsid w:val="3B7F24A8"/>
    <w:rsid w:val="3BBB6F2C"/>
    <w:rsid w:val="3C5509CF"/>
    <w:rsid w:val="3D0B74E7"/>
    <w:rsid w:val="3DDD681D"/>
    <w:rsid w:val="3FFF67CF"/>
    <w:rsid w:val="405B3879"/>
    <w:rsid w:val="4303280C"/>
    <w:rsid w:val="456D60C2"/>
    <w:rsid w:val="46413B0F"/>
    <w:rsid w:val="48333924"/>
    <w:rsid w:val="492B2775"/>
    <w:rsid w:val="49303652"/>
    <w:rsid w:val="4A195DFB"/>
    <w:rsid w:val="4BDA40DA"/>
    <w:rsid w:val="4C0842C4"/>
    <w:rsid w:val="4C923781"/>
    <w:rsid w:val="4E7FB501"/>
    <w:rsid w:val="517F04EA"/>
    <w:rsid w:val="51F83978"/>
    <w:rsid w:val="52112757"/>
    <w:rsid w:val="52BF4E3F"/>
    <w:rsid w:val="53322E38"/>
    <w:rsid w:val="54A46A5D"/>
    <w:rsid w:val="556F6694"/>
    <w:rsid w:val="5AF94925"/>
    <w:rsid w:val="5CC32F8F"/>
    <w:rsid w:val="5DCF0D34"/>
    <w:rsid w:val="5E6D7717"/>
    <w:rsid w:val="5E783ED2"/>
    <w:rsid w:val="64DB6919"/>
    <w:rsid w:val="656718B3"/>
    <w:rsid w:val="672A71FE"/>
    <w:rsid w:val="6A2E61AA"/>
    <w:rsid w:val="6AB017DC"/>
    <w:rsid w:val="6B722670"/>
    <w:rsid w:val="703A7E38"/>
    <w:rsid w:val="71B227FF"/>
    <w:rsid w:val="72185DB2"/>
    <w:rsid w:val="73796E03"/>
    <w:rsid w:val="749A1E13"/>
    <w:rsid w:val="76333A4D"/>
    <w:rsid w:val="7777EEF3"/>
    <w:rsid w:val="791B46AD"/>
    <w:rsid w:val="7A79CB03"/>
    <w:rsid w:val="7AB16D94"/>
    <w:rsid w:val="7C867985"/>
    <w:rsid w:val="7D320D5D"/>
    <w:rsid w:val="7D846406"/>
    <w:rsid w:val="7EFBD413"/>
    <w:rsid w:val="7F6E2CA6"/>
    <w:rsid w:val="BD935739"/>
    <w:rsid w:val="F3FE8CF0"/>
    <w:rsid w:val="FDFBC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5"/>
    <w:next w:val="1"/>
    <w:semiHidden/>
    <w:unhideWhenUsed/>
    <w:qFormat/>
    <w:uiPriority w:val="0"/>
    <w:pPr>
      <w:spacing w:before="260" w:after="260" w:line="413" w:lineRule="auto"/>
      <w:outlineLvl w:val="2"/>
    </w:pPr>
    <w:rPr>
      <w:b w:val="0"/>
      <w:sz w:val="32"/>
    </w:rPr>
  </w:style>
  <w:style w:type="paragraph" w:styleId="5">
    <w:name w:val="heading 4"/>
    <w:basedOn w:val="1"/>
    <w:next w:val="1"/>
    <w:semiHidden/>
    <w:unhideWhenUsed/>
    <w:qFormat/>
    <w:uiPriority w:val="0"/>
    <w:pPr>
      <w:keepNext/>
      <w:keepLines/>
      <w:spacing w:before="280" w:after="290" w:line="372" w:lineRule="auto"/>
      <w:outlineLvl w:val="3"/>
    </w:pPr>
    <w:rPr>
      <w:rFonts w:ascii="Arial" w:hAnsi="Arial" w:eastAsia="黑体"/>
      <w:b/>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26"/>
    <w:qFormat/>
    <w:uiPriority w:val="0"/>
    <w:rPr>
      <w:rFonts w:ascii="宋体" w:hAnsi="Courier New" w:eastAsia="宋体" w:cs="Times New Roman"/>
      <w:szCs w:val="20"/>
    </w:rPr>
  </w:style>
  <w:style w:type="paragraph" w:styleId="3">
    <w:name w:val="index 8"/>
    <w:basedOn w:val="1"/>
    <w:next w:val="1"/>
    <w:qFormat/>
    <w:uiPriority w:val="0"/>
    <w:pPr>
      <w:widowControl/>
      <w:tabs>
        <w:tab w:val="right" w:pos="8640"/>
      </w:tabs>
      <w:suppressAutoHyphens/>
      <w:spacing w:before="156" w:after="156"/>
      <w:ind w:left="1600" w:hanging="200"/>
    </w:pPr>
    <w:rPr>
      <w:kern w:val="0"/>
      <w:sz w:val="18"/>
      <w:szCs w:val="18"/>
      <w:lang w:eastAsia="en-US"/>
    </w:rPr>
  </w:style>
  <w:style w:type="paragraph" w:styleId="6">
    <w:name w:val="Normal Indent"/>
    <w:basedOn w:val="1"/>
    <w:link w:val="27"/>
    <w:qFormat/>
    <w:uiPriority w:val="0"/>
    <w:pPr>
      <w:ind w:firstLine="420" w:firstLineChars="200"/>
    </w:pPr>
    <w:rPr>
      <w:rFonts w:ascii="Times New Roman" w:hAnsi="Times New Roman" w:eastAsia="宋体" w:cs="Times New Roman"/>
    </w:rPr>
  </w:style>
  <w:style w:type="paragraph" w:styleId="7">
    <w:name w:val="annotation text"/>
    <w:basedOn w:val="1"/>
    <w:next w:val="8"/>
    <w:link w:val="23"/>
    <w:qFormat/>
    <w:uiPriority w:val="0"/>
    <w:pPr>
      <w:jc w:val="left"/>
    </w:pPr>
  </w:style>
  <w:style w:type="paragraph" w:styleId="8">
    <w:name w:val="toc 5"/>
    <w:basedOn w:val="1"/>
    <w:next w:val="1"/>
    <w:semiHidden/>
    <w:qFormat/>
    <w:uiPriority w:val="39"/>
    <w:pPr>
      <w:tabs>
        <w:tab w:val="left" w:pos="426"/>
      </w:tabs>
      <w:ind w:left="840"/>
      <w:jc w:val="left"/>
    </w:pPr>
    <w:rPr>
      <w:szCs w:val="21"/>
    </w:rPr>
  </w:style>
  <w:style w:type="paragraph" w:styleId="9">
    <w:name w:val="Body Text"/>
    <w:basedOn w:val="1"/>
    <w:next w:val="1"/>
    <w:qFormat/>
    <w:uiPriority w:val="0"/>
    <w:pPr>
      <w:jc w:val="center"/>
    </w:pPr>
    <w:rPr>
      <w:rFonts w:ascii="宋体" w:hAnsi="Calibri" w:eastAsia="宋体" w:cs="Times New Roman"/>
      <w:sz w:val="44"/>
    </w:rPr>
  </w:style>
  <w:style w:type="paragraph" w:styleId="10">
    <w:name w:val="Balloon Text"/>
    <w:basedOn w:val="1"/>
    <w:link w:val="25"/>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annotation subject"/>
    <w:basedOn w:val="7"/>
    <w:next w:val="7"/>
    <w:link w:val="24"/>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annotation reference"/>
    <w:basedOn w:val="17"/>
    <w:qFormat/>
    <w:uiPriority w:val="0"/>
    <w:rPr>
      <w:sz w:val="21"/>
      <w:szCs w:val="21"/>
    </w:rPr>
  </w:style>
  <w:style w:type="paragraph" w:styleId="20">
    <w:name w:val="Quote"/>
    <w:next w:val="1"/>
    <w:qFormat/>
    <w:uiPriority w:val="99"/>
    <w:pPr>
      <w:widowControl w:val="0"/>
      <w:jc w:val="both"/>
    </w:pPr>
    <w:rPr>
      <w:rFonts w:ascii="Calibri" w:hAnsi="Calibri" w:eastAsia="宋体" w:cs="Calibri"/>
      <w:i/>
      <w:iCs/>
      <w:color w:val="000000"/>
      <w:kern w:val="2"/>
      <w:sz w:val="22"/>
      <w:szCs w:val="22"/>
      <w:lang w:val="en-US" w:eastAsia="zh-CN" w:bidi="ar-SA"/>
    </w:rPr>
  </w:style>
  <w:style w:type="character" w:customStyle="1" w:styleId="21">
    <w:name w:val="NormalCharacter"/>
    <w:semiHidden/>
    <w:qFormat/>
    <w:uiPriority w:val="0"/>
  </w:style>
  <w:style w:type="paragraph" w:customStyle="1" w:styleId="22">
    <w:name w:val="表格"/>
    <w:basedOn w:val="1"/>
    <w:qFormat/>
    <w:uiPriority w:val="0"/>
    <w:pPr>
      <w:jc w:val="center"/>
    </w:pPr>
    <w:rPr>
      <w:rFonts w:hint="eastAsia" w:ascii="仿宋" w:hAnsi="仿宋" w:eastAsia="仿宋" w:cs="仿宋"/>
      <w:kern w:val="0"/>
      <w:sz w:val="24"/>
    </w:rPr>
  </w:style>
  <w:style w:type="character" w:customStyle="1" w:styleId="23">
    <w:name w:val="批注文字 Char"/>
    <w:basedOn w:val="17"/>
    <w:link w:val="7"/>
    <w:qFormat/>
    <w:uiPriority w:val="0"/>
    <w:rPr>
      <w:kern w:val="2"/>
      <w:sz w:val="21"/>
      <w:szCs w:val="24"/>
    </w:rPr>
  </w:style>
  <w:style w:type="character" w:customStyle="1" w:styleId="24">
    <w:name w:val="批注主题 Char"/>
    <w:basedOn w:val="23"/>
    <w:link w:val="14"/>
    <w:qFormat/>
    <w:uiPriority w:val="0"/>
    <w:rPr>
      <w:b/>
      <w:bCs/>
      <w:kern w:val="2"/>
      <w:sz w:val="21"/>
      <w:szCs w:val="24"/>
    </w:rPr>
  </w:style>
  <w:style w:type="character" w:customStyle="1" w:styleId="25">
    <w:name w:val="批注框文本 Char"/>
    <w:basedOn w:val="17"/>
    <w:link w:val="10"/>
    <w:qFormat/>
    <w:uiPriority w:val="0"/>
    <w:rPr>
      <w:kern w:val="2"/>
      <w:sz w:val="18"/>
      <w:szCs w:val="18"/>
    </w:rPr>
  </w:style>
  <w:style w:type="character" w:customStyle="1" w:styleId="26">
    <w:name w:val="纯文本 Char"/>
    <w:link w:val="2"/>
    <w:qFormat/>
    <w:uiPriority w:val="0"/>
    <w:rPr>
      <w:rFonts w:ascii="宋体" w:hAnsi="Courier New" w:eastAsia="宋体" w:cs="Times New Roman"/>
      <w:szCs w:val="20"/>
    </w:rPr>
  </w:style>
  <w:style w:type="character" w:customStyle="1" w:styleId="27">
    <w:name w:val="正文缩进 Char"/>
    <w:link w:val="6"/>
    <w:qFormat/>
    <w:uiPriority w:val="0"/>
    <w:rPr>
      <w:kern w:val="2"/>
      <w:sz w:val="21"/>
      <w:szCs w:val="24"/>
    </w:rPr>
  </w:style>
  <w:style w:type="paragraph" w:styleId="2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7910</Words>
  <Characters>8107</Characters>
  <Lines>83</Lines>
  <Paragraphs>23</Paragraphs>
  <TotalTime>7</TotalTime>
  <ScaleCrop>false</ScaleCrop>
  <LinksUpToDate>false</LinksUpToDate>
  <CharactersWithSpaces>8998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Administrator</dc:creator>
  <cp:lastModifiedBy>yan</cp:lastModifiedBy>
  <cp:lastPrinted>2022-12-17T19:51:00Z</cp:lastPrinted>
  <dcterms:modified xsi:type="dcterms:W3CDTF">2024-05-24T14:43:11Z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06CC392F999A4BD88F57CA89122886A8</vt:lpwstr>
  </property>
</Properties>
</file>