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3" w:firstLineChars="200"/>
        <w:rPr>
          <w:rFonts w:hint="eastAsia" w:ascii="仿宋_GB2312" w:hAnsi="仿宋" w:eastAsia="仿宋_GB2312" w:cs="宋体"/>
          <w:color w:val="auto"/>
          <w:kern w:val="0"/>
          <w:sz w:val="32"/>
          <w:szCs w:val="32"/>
          <w:lang w:val="en-US" w:eastAsia="zh-CN" w:bidi="ar-SA"/>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）酸价</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color w:val="auto"/>
          <w:sz w:val="32"/>
          <w:szCs w:val="32"/>
        </w:rPr>
      </w:pPr>
      <w:r>
        <w:rPr>
          <w:rFonts w:hint="eastAsia" w:ascii="仿宋_GB2312" w:hAnsi="仿宋" w:eastAsia="仿宋_GB2312" w:cs="宋体"/>
          <w:color w:val="auto"/>
          <w:kern w:val="0"/>
          <w:sz w:val="32"/>
          <w:szCs w:val="32"/>
          <w:lang w:val="en-US" w:eastAsia="zh-CN" w:bidi="ar-SA"/>
        </w:rPr>
        <w:t>酸价主要反映食品中的油脂酸败程度。《芝麻油》（GB/T 8233-2018）中规定,芝麻油中一级产品酸价(KOH</w:t>
      </w:r>
      <w:r>
        <w:rPr>
          <w:rFonts w:hint="eastAsia" w:ascii="仿宋_GB2312" w:hAnsi="仿宋" w:eastAsia="仿宋_GB2312"/>
          <w:color w:val="auto"/>
          <w:sz w:val="32"/>
          <w:szCs w:val="32"/>
        </w:rPr>
        <w:t>)应≤</w:t>
      </w:r>
      <w:r>
        <w:rPr>
          <w:rFonts w:hint="eastAsia" w:ascii="仿宋_GB2312" w:hAnsi="仿宋" w:eastAsia="仿宋_GB2312"/>
          <w:color w:val="auto"/>
          <w:sz w:val="32"/>
          <w:szCs w:val="32"/>
          <w:lang w:val="en-US" w:eastAsia="zh-CN"/>
        </w:rPr>
        <w:t>2.5</w:t>
      </w:r>
      <w:r>
        <w:rPr>
          <w:rFonts w:hint="eastAsia" w:ascii="仿宋_GB2312" w:hAnsi="仿宋" w:eastAsia="仿宋_GB2312"/>
          <w:color w:val="auto"/>
          <w:sz w:val="32"/>
          <w:szCs w:val="32"/>
        </w:rPr>
        <w:t>mg/g</w:t>
      </w:r>
      <w:r>
        <w:rPr>
          <w:rFonts w:hint="eastAsia" w:ascii="仿宋_GB2312" w:hAnsi="仿宋" w:eastAsia="仿宋_GB2312"/>
          <w:color w:val="auto"/>
          <w:sz w:val="32"/>
          <w:szCs w:val="32"/>
          <w:lang w:eastAsia="zh-CN"/>
        </w:rPr>
        <w:t>，二级产品</w:t>
      </w:r>
      <w:r>
        <w:rPr>
          <w:rFonts w:hint="eastAsia" w:ascii="仿宋_GB2312" w:hAnsi="仿宋" w:eastAsia="仿宋_GB2312" w:cs="宋体"/>
          <w:color w:val="auto"/>
          <w:kern w:val="0"/>
          <w:sz w:val="32"/>
          <w:szCs w:val="32"/>
          <w:lang w:val="en-US" w:eastAsia="zh-CN" w:bidi="ar-SA"/>
        </w:rPr>
        <w:t>酸价(KOH</w:t>
      </w:r>
      <w:r>
        <w:rPr>
          <w:rFonts w:hint="eastAsia" w:ascii="仿宋_GB2312" w:hAnsi="仿宋" w:eastAsia="仿宋_GB2312"/>
          <w:color w:val="auto"/>
          <w:sz w:val="32"/>
          <w:szCs w:val="32"/>
        </w:rPr>
        <w:t>)应≤</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mg/g。酸价过高会导致食品有哈喇味，所产生的醛、酮、酸会破坏脂溶性维生素，会导致肠胃不适症状，特别是对抵抗能力较弱的老人、孕妇、小孩危害更明显。</w:t>
      </w:r>
    </w:p>
    <w:p>
      <w:pPr>
        <w:pStyle w:val="9"/>
        <w:numPr>
          <w:ilvl w:val="0"/>
          <w:numId w:val="0"/>
        </w:numPr>
        <w:shd w:val="clear" w:color="auto" w:fill="FFFFFF"/>
        <w:spacing w:before="0" w:beforeAutospacing="0" w:after="0" w:afterAutospacing="0" w:line="560" w:lineRule="exact"/>
        <w:ind w:firstLine="643" w:firstLineChars="200"/>
        <w:rPr>
          <w:rFonts w:hint="eastAsia" w:ascii="楷体_GB2312" w:hAnsi="楷体" w:eastAsia="楷体_GB2312" w:cs="宋体"/>
          <w:b/>
          <w:color w:val="000000"/>
          <w:kern w:val="0"/>
          <w:sz w:val="32"/>
          <w:szCs w:val="32"/>
          <w:lang w:val="en-US" w:eastAsia="zh-CN" w:bidi="ar-SA"/>
        </w:rPr>
      </w:pPr>
      <w:r>
        <w:rPr>
          <w:rFonts w:hint="eastAsia" w:ascii="楷体_GB2312" w:hAnsi="楷体" w:eastAsia="楷体_GB2312" w:cs="宋体"/>
          <w:b/>
          <w:color w:val="000000"/>
          <w:kern w:val="0"/>
          <w:sz w:val="32"/>
          <w:szCs w:val="32"/>
          <w:lang w:val="en-US" w:eastAsia="zh-CN" w:bidi="ar-SA"/>
        </w:rPr>
        <w:t>（二）多菌灵</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 w:eastAsia="仿宋_GB2312" w:cs="Times New Roman"/>
          <w:b w:val="0"/>
          <w:kern w:val="2"/>
          <w:sz w:val="32"/>
          <w:szCs w:val="32"/>
          <w:lang w:val="zh-CN" w:eastAsia="zh-CN" w:bidi="ar-SA"/>
        </w:rPr>
      </w:pPr>
      <w:r>
        <w:rPr>
          <w:rFonts w:hint="eastAsia" w:ascii="仿宋_GB2312" w:hAnsi="仿宋" w:eastAsia="仿宋_GB2312" w:cs="Times New Roman"/>
          <w:b w:val="0"/>
          <w:kern w:val="2"/>
          <w:sz w:val="32"/>
          <w:szCs w:val="32"/>
          <w:lang w:val="zh-CN" w:eastAsia="zh-CN" w:bidi="ar-SA"/>
        </w:rPr>
        <w:t>多菌灵是一种广谱性杀菌剂，对多种作物由真菌引起的病害具有防治效果，广泛用于果树、蔬菜、粮棉和林木病害的防治。急性毒性分级标准为实际无毒级。相关研究未见遗传毒性。《食品安全国家标准 食品中农药最大残留限量》（GB 2763</w:t>
      </w:r>
      <w:r>
        <w:rPr>
          <w:rFonts w:hint="eastAsia"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zh-CN" w:eastAsia="zh-CN" w:bidi="ar-SA"/>
        </w:rPr>
        <w:t>201</w:t>
      </w:r>
      <w:r>
        <w:rPr>
          <w:rFonts w:hint="eastAsia" w:ascii="仿宋_GB2312" w:hAnsi="仿宋" w:cs="Times New Roman"/>
          <w:b w:val="0"/>
          <w:kern w:val="2"/>
          <w:sz w:val="32"/>
          <w:szCs w:val="32"/>
          <w:lang w:val="en-US" w:eastAsia="zh-CN" w:bidi="ar-SA"/>
        </w:rPr>
        <w:t>9</w:t>
      </w:r>
      <w:r>
        <w:rPr>
          <w:rFonts w:hint="eastAsia" w:ascii="仿宋_GB2312" w:hAnsi="仿宋" w:eastAsia="仿宋_GB2312" w:cs="Times New Roman"/>
          <w:b w:val="0"/>
          <w:kern w:val="2"/>
          <w:sz w:val="32"/>
          <w:szCs w:val="32"/>
          <w:lang w:val="zh-CN" w:eastAsia="zh-CN" w:bidi="ar-SA"/>
        </w:rPr>
        <w:t>）中规定，茶叶中的</w:t>
      </w:r>
      <w:r>
        <w:rPr>
          <w:rFonts w:hint="eastAsia" w:ascii="仿宋_GB2312" w:hAnsi="仿宋" w:cs="Times New Roman"/>
          <w:b w:val="0"/>
          <w:kern w:val="2"/>
          <w:sz w:val="32"/>
          <w:szCs w:val="32"/>
          <w:lang w:val="zh-CN" w:eastAsia="zh-CN" w:bidi="ar-SA"/>
        </w:rPr>
        <w:t>多菌灵</w:t>
      </w:r>
      <w:r>
        <w:rPr>
          <w:rFonts w:hint="eastAsia" w:ascii="仿宋_GB2312" w:hAnsi="仿宋" w:eastAsia="仿宋_GB2312" w:cs="Times New Roman"/>
          <w:b w:val="0"/>
          <w:kern w:val="2"/>
          <w:sz w:val="32"/>
          <w:szCs w:val="32"/>
          <w:lang w:val="zh-CN" w:eastAsia="zh-CN" w:bidi="ar-SA"/>
        </w:rPr>
        <w:t>应≤</w:t>
      </w:r>
      <w:r>
        <w:rPr>
          <w:rFonts w:hint="eastAsia" w:ascii="仿宋_GB2312" w:hAnsi="仿宋" w:cs="Times New Roman"/>
          <w:b w:val="0"/>
          <w:kern w:val="2"/>
          <w:sz w:val="32"/>
          <w:szCs w:val="32"/>
          <w:lang w:val="en-US" w:eastAsia="zh-CN" w:bidi="ar-SA"/>
        </w:rPr>
        <w:t>5</w:t>
      </w:r>
      <w:r>
        <w:rPr>
          <w:rFonts w:hint="eastAsia" w:ascii="仿宋_GB2312" w:hAnsi="仿宋" w:eastAsia="仿宋_GB2312" w:cs="Times New Roman"/>
          <w:b w:val="0"/>
          <w:kern w:val="2"/>
          <w:sz w:val="32"/>
          <w:szCs w:val="32"/>
          <w:lang w:val="zh-CN" w:eastAsia="zh-CN" w:bidi="ar-SA"/>
        </w:rPr>
        <w:t>mg/kg。长期食用多菌灵超标的食品，对人体健康可能产生一定影响。</w:t>
      </w:r>
    </w:p>
    <w:p>
      <w:pPr>
        <w:pStyle w:val="9"/>
        <w:numPr>
          <w:ilvl w:val="0"/>
          <w:numId w:val="0"/>
        </w:numPr>
        <w:shd w:val="clear" w:color="auto" w:fill="FFFFFF"/>
        <w:spacing w:before="0" w:beforeAutospacing="0" w:after="0" w:afterAutospacing="0" w:line="560" w:lineRule="exact"/>
        <w:ind w:firstLine="643" w:firstLineChars="200"/>
        <w:rPr>
          <w:rFonts w:hint="eastAsia" w:ascii="楷体_GB2312" w:hAnsi="楷体" w:eastAsia="楷体_GB2312" w:cs="宋体"/>
          <w:b/>
          <w:color w:val="000000"/>
          <w:kern w:val="0"/>
          <w:sz w:val="32"/>
          <w:szCs w:val="32"/>
          <w:lang w:val="en-US" w:eastAsia="zh-CN" w:bidi="ar-SA"/>
        </w:rPr>
      </w:pPr>
      <w:r>
        <w:rPr>
          <w:rFonts w:hint="eastAsia" w:ascii="楷体_GB2312" w:hAnsi="楷体" w:eastAsia="楷体_GB2312" w:cs="宋体"/>
          <w:b/>
          <w:color w:val="000000"/>
          <w:kern w:val="0"/>
          <w:sz w:val="32"/>
          <w:szCs w:val="32"/>
          <w:lang w:val="en-US" w:eastAsia="zh-CN" w:bidi="ar-SA"/>
        </w:rPr>
        <w:t>（三）铬</w:t>
      </w:r>
    </w:p>
    <w:p>
      <w:pPr>
        <w:pStyle w:val="9"/>
        <w:numPr>
          <w:ilvl w:val="0"/>
          <w:numId w:val="0"/>
        </w:numPr>
        <w:shd w:val="clear" w:color="auto" w:fill="FFFFFF"/>
        <w:spacing w:before="0" w:beforeAutospacing="0" w:after="0" w:afterAutospacing="0" w:line="560" w:lineRule="exact"/>
        <w:ind w:firstLine="640" w:firstLineChars="200"/>
        <w:jc w:val="both"/>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微量的铬是人体必需的</w:t>
      </w:r>
      <w:r>
        <w:rPr>
          <w:rFonts w:hint="eastAsia" w:ascii="仿宋_GB2312" w:hAnsi="仿宋" w:eastAsia="仿宋_GB2312" w:cs="Times New Roman"/>
          <w:kern w:val="2"/>
          <w:sz w:val="32"/>
          <w:szCs w:val="32"/>
          <w:lang w:val="en-US" w:eastAsia="zh-CN" w:bidi="ar-SA"/>
        </w:rPr>
        <w:fldChar w:fldCharType="begin"/>
      </w:r>
      <w:r>
        <w:rPr>
          <w:rFonts w:hint="eastAsia" w:ascii="仿宋_GB2312" w:hAnsi="仿宋" w:eastAsia="仿宋_GB2312" w:cs="Times New Roman"/>
          <w:kern w:val="2"/>
          <w:sz w:val="32"/>
          <w:szCs w:val="32"/>
          <w:lang w:val="en-US" w:eastAsia="zh-CN" w:bidi="ar-SA"/>
        </w:rPr>
        <w:instrText xml:space="preserve"> HYPERLINK "https://baike.so.com/doc/4689751-4903712.html" \t "https://baike.so.com/doc/_blank" </w:instrText>
      </w:r>
      <w:r>
        <w:rPr>
          <w:rFonts w:hint="eastAsia" w:ascii="仿宋_GB2312" w:hAnsi="仿宋" w:eastAsia="仿宋_GB2312" w:cs="Times New Roman"/>
          <w:kern w:val="2"/>
          <w:sz w:val="32"/>
          <w:szCs w:val="32"/>
          <w:lang w:val="en-US" w:eastAsia="zh-CN" w:bidi="ar-SA"/>
        </w:rPr>
        <w:fldChar w:fldCharType="separate"/>
      </w:r>
      <w:r>
        <w:rPr>
          <w:rFonts w:hint="eastAsia" w:ascii="仿宋_GB2312" w:hAnsi="仿宋" w:eastAsia="仿宋_GB2312" w:cs="Times New Roman"/>
          <w:kern w:val="2"/>
          <w:sz w:val="32"/>
          <w:szCs w:val="32"/>
          <w:lang w:val="zh-CN" w:eastAsia="zh-CN" w:bidi="ar-SA"/>
        </w:rPr>
        <w:t>元素</w:t>
      </w:r>
      <w:r>
        <w:rPr>
          <w:rFonts w:hint="eastAsia" w:ascii="仿宋_GB2312" w:hAnsi="仿宋" w:eastAsia="仿宋_GB2312" w:cs="Times New Roman"/>
          <w:kern w:val="2"/>
          <w:sz w:val="32"/>
          <w:szCs w:val="32"/>
          <w:lang w:val="zh-CN" w:eastAsia="zh-CN" w:bidi="ar-SA"/>
        </w:rPr>
        <w:fldChar w:fldCharType="end"/>
      </w:r>
      <w:r>
        <w:rPr>
          <w:rFonts w:hint="eastAsia" w:ascii="仿宋_GB2312" w:hAnsi="仿宋" w:eastAsia="仿宋_GB2312" w:cs="Times New Roman"/>
          <w:kern w:val="2"/>
          <w:sz w:val="32"/>
          <w:szCs w:val="32"/>
          <w:lang w:val="zh-CN" w:eastAsia="zh-CN" w:bidi="ar-SA"/>
        </w:rPr>
        <w:t>，其中，三价铬对人体几乎不产生有害作用；而六价铬则对人有慢性毒害，可通过消化道、呼吸道、皮肤和粘膜侵入人体，在体内主要积聚在肝、肾和内分泌腺中。《食品安全国家标准 食品中污染物限量》（GB 2762-2017）中规定，肉制品中铬（以Cr计）应</w:t>
      </w:r>
      <w:r>
        <w:rPr>
          <w:rFonts w:hint="eastAsia" w:ascii="仿宋_GB2312" w:hAnsi="仿宋" w:eastAsia="仿宋_GB2312" w:cs="Times New Roman"/>
          <w:kern w:val="2"/>
          <w:sz w:val="32"/>
          <w:szCs w:val="32"/>
          <w:lang w:val="en-US" w:eastAsia="zh-CN" w:bidi="ar-SA"/>
        </w:rPr>
        <w:t>≤1.0mg/kg。</w:t>
      </w:r>
      <w:r>
        <w:rPr>
          <w:rFonts w:hint="eastAsia" w:ascii="仿宋_GB2312" w:hAnsi="仿宋" w:eastAsia="仿宋_GB2312" w:cs="Times New Roman"/>
          <w:kern w:val="2"/>
          <w:sz w:val="32"/>
          <w:szCs w:val="32"/>
          <w:lang w:val="zh-CN" w:eastAsia="zh-CN" w:bidi="ar-SA"/>
        </w:rPr>
        <w:t>长期食用铬超标的食品会引起肾脏、肝脏、神经系统和血液的病变。</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四</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过氧化值</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过氧化值主要反映食品中油脂是否氧化变质。随着油脂被氧化，过氧化值会逐步升高。《食品安全国家标准 腌腊肉制品》（GB 2730-2015）中规定，</w:t>
      </w:r>
      <w:r>
        <w:rPr>
          <w:rFonts w:hint="eastAsia" w:ascii="仿宋_GB2312" w:hAnsi="仿宋" w:eastAsia="仿宋_GB2312" w:cs="仿宋"/>
          <w:sz w:val="32"/>
          <w:szCs w:val="32"/>
          <w:lang w:eastAsia="zh-CN"/>
        </w:rPr>
        <w:t>火腿、腊肉、咸肉、香（腊）肠</w:t>
      </w:r>
      <w:r>
        <w:rPr>
          <w:rFonts w:hint="eastAsia" w:ascii="仿宋_GB2312" w:hAnsi="仿宋" w:eastAsia="仿宋_GB2312" w:cs="仿宋"/>
          <w:sz w:val="32"/>
          <w:szCs w:val="32"/>
        </w:rPr>
        <w:t>的过氧化值(以脂肪计)应≤0.5g/100g。食用</w:t>
      </w:r>
      <w:r>
        <w:rPr>
          <w:rFonts w:hint="eastAsia" w:ascii="仿宋_GB2312" w:hAnsi="仿宋" w:eastAsia="仿宋_GB2312"/>
          <w:sz w:val="32"/>
          <w:szCs w:val="32"/>
        </w:rPr>
        <w:t>过氧化值过高的食品可能会导致肠胃不适、腹泻等症状。</w:t>
      </w:r>
    </w:p>
    <w:p>
      <w:pPr>
        <w:rPr>
          <w:rFonts w:ascii="楷体_GB2312" w:hAnsi="宋体" w:eastAsia="楷体_GB2312" w:cs="宋体"/>
          <w:b/>
          <w:kern w:val="0"/>
          <w:sz w:val="32"/>
          <w:szCs w:val="32"/>
        </w:rPr>
      </w:pPr>
      <w:r>
        <w:rPr>
          <w:rFonts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五</w:t>
      </w:r>
      <w:r>
        <w:rPr>
          <w:rFonts w:ascii="楷体_GB2312" w:hAnsi="宋体" w:eastAsia="楷体_GB2312" w:cs="宋体"/>
          <w:b/>
          <w:kern w:val="0"/>
          <w:sz w:val="32"/>
          <w:szCs w:val="32"/>
        </w:rPr>
        <w:t>）磺胺类（总量）</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31650-2019）规定，磺胺类在所有食品动物的肌肉和脂肪中的最高残留限量为100μg/kg</w:t>
      </w:r>
      <w:r>
        <w:rPr>
          <w:rFonts w:hint="eastAsia" w:ascii="仿宋_GB2312" w:hAnsi="仿宋" w:eastAsia="仿宋_GB2312"/>
          <w:sz w:val="32"/>
          <w:szCs w:val="32"/>
          <w:lang w:eastAsia="zh-CN"/>
        </w:rPr>
        <w:t>，</w:t>
      </w:r>
      <w:r>
        <w:rPr>
          <w:rFonts w:hint="eastAsia" w:ascii="仿宋_GB2312" w:hAnsi="仿宋" w:eastAsia="仿宋_GB2312" w:cs="Arial"/>
          <w:color w:val="auto"/>
          <w:sz w:val="32"/>
          <w:szCs w:val="32"/>
          <w:shd w:val="clear" w:color="auto" w:fill="FFFFFF"/>
        </w:rPr>
        <w:t>但在产蛋期家禽中禁用（鸡蛋不</w:t>
      </w:r>
      <w:r>
        <w:rPr>
          <w:rFonts w:hint="eastAsia" w:ascii="仿宋_GB2312" w:hAnsi="仿宋" w:eastAsia="仿宋_GB2312" w:cs="Arial"/>
          <w:sz w:val="32"/>
          <w:szCs w:val="32"/>
          <w:shd w:val="clear" w:color="auto" w:fill="FFFFFF"/>
        </w:rPr>
        <w:t>得检出）</w:t>
      </w:r>
      <w:r>
        <w:rPr>
          <w:rFonts w:hint="eastAsia" w:ascii="仿宋_GB2312" w:hAnsi="仿宋" w:eastAsia="仿宋_GB2312"/>
          <w:sz w:val="32"/>
          <w:szCs w:val="32"/>
        </w:rPr>
        <w:t>。长期摄入磺胺类超标的动物性食品，可能导致泌尿系统和肝脏损伤等健康危害。</w:t>
      </w:r>
    </w:p>
    <w:p>
      <w:pPr>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（六）</w:t>
      </w:r>
      <w:r>
        <w:rPr>
          <w:rFonts w:hint="eastAsia" w:ascii="楷体_GB2312" w:hAnsi="宋体" w:eastAsia="楷体_GB2312" w:cs="宋体"/>
          <w:b/>
          <w:kern w:val="0"/>
          <w:sz w:val="32"/>
          <w:szCs w:val="32"/>
        </w:rPr>
        <w:t>氰戊菊酯和S-氰戊菊酯</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氰戊菊酯和S-氰戊菊酯是一种广谱高效拟除虫菊酯杀虫剂，对害虫具触杀、胃毒作用，适用于多种作物的害虫防治。《食品安全国家标准 食品中农药最大残留限量》（GB 2763</w:t>
      </w:r>
      <w:r>
        <w:rPr>
          <w:rFonts w:hint="eastAsia" w:ascii="仿宋_GB2312" w:hAnsi="仿宋" w:eastAsia="仿宋_GB2312"/>
          <w:sz w:val="32"/>
          <w:szCs w:val="32"/>
          <w:lang w:val="en-US" w:eastAsia="zh-CN"/>
        </w:rPr>
        <w:t>-</w:t>
      </w:r>
      <w:r>
        <w:rPr>
          <w:rFonts w:hint="eastAsia" w:ascii="仿宋_GB2312" w:hAnsi="仿宋" w:eastAsia="仿宋_GB2312"/>
          <w:sz w:val="32"/>
          <w:szCs w:val="32"/>
        </w:rPr>
        <w:t>2016）中规定，茶叶中</w:t>
      </w:r>
      <w:r>
        <w:rPr>
          <w:rFonts w:hint="eastAsia" w:ascii="仿宋_GB2312" w:hAnsi="仿宋" w:eastAsia="仿宋_GB2312"/>
          <w:sz w:val="32"/>
          <w:szCs w:val="32"/>
          <w:lang w:eastAsia="zh-CN"/>
        </w:rPr>
        <w:t>的</w:t>
      </w:r>
      <w:r>
        <w:rPr>
          <w:rFonts w:hint="eastAsia" w:ascii="仿宋_GB2312" w:hAnsi="仿宋" w:eastAsia="仿宋_GB2312"/>
          <w:sz w:val="32"/>
          <w:szCs w:val="32"/>
        </w:rPr>
        <w:t>氰戊菊酯和S-氰戊菊酯</w:t>
      </w:r>
      <w:r>
        <w:rPr>
          <w:rFonts w:hint="eastAsia" w:ascii="仿宋_GB2312" w:hAnsi="仿宋" w:eastAsia="仿宋_GB2312"/>
          <w:sz w:val="32"/>
          <w:szCs w:val="32"/>
          <w:lang w:eastAsia="zh-CN"/>
        </w:rPr>
        <w:t>应</w:t>
      </w:r>
      <w:r>
        <w:rPr>
          <w:rFonts w:hint="eastAsia" w:ascii="仿宋_GB2312" w:hAnsi="仿宋" w:eastAsia="仿宋_GB2312" w:cs="仿宋"/>
          <w:sz w:val="32"/>
          <w:szCs w:val="32"/>
        </w:rPr>
        <w:t>≤</w:t>
      </w:r>
      <w:r>
        <w:rPr>
          <w:rFonts w:hint="eastAsia" w:ascii="仿宋_GB2312" w:hAnsi="仿宋" w:eastAsia="仿宋_GB2312"/>
          <w:sz w:val="32"/>
          <w:szCs w:val="32"/>
        </w:rPr>
        <w:t>0.1mg/kg。长期饮用氰戊菊酯和S-氰戊菊酯超标的茶叶，虽然不会导致急性中毒，但对人体健康造成一定的影响。茶叶中氰戊菊酯和S-氰戊菊酯超标的原因，可能是茶农违规使用相关农药，也可能是环境中残留农药的迁移性污染。</w:t>
      </w:r>
    </w:p>
    <w:p>
      <w:pPr>
        <w:rPr>
          <w:rFonts w:hint="eastAsia"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（七）三氯杀螨醇</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三氯杀螨醇是一种广谱性有机氯杀螨剂，一般用于杀灭棉花、果树、花 卉等的螨虫，在环境中降解缓慢，蓄积性强，对环境危害较大。《食品安全国家标准 食品中农药最大残留限量》（</w:t>
      </w:r>
      <w:r>
        <w:rPr>
          <w:rFonts w:hint="default" w:ascii="仿宋_GB2312" w:hAnsi="仿宋" w:eastAsia="仿宋_GB2312" w:cs="宋体"/>
          <w:kern w:val="0"/>
          <w:sz w:val="32"/>
          <w:szCs w:val="32"/>
          <w:lang w:val="en-US" w:eastAsia="zh-CN" w:bidi="ar-SA"/>
        </w:rPr>
        <w:t>GB 2763-2021</w:t>
      </w:r>
      <w:r>
        <w:rPr>
          <w:rFonts w:hint="eastAsia" w:ascii="仿宋_GB2312" w:hAnsi="仿宋" w:eastAsia="仿宋_GB2312" w:cs="宋体"/>
          <w:kern w:val="0"/>
          <w:sz w:val="32"/>
          <w:szCs w:val="32"/>
          <w:lang w:val="en-US" w:eastAsia="zh-CN" w:bidi="ar-SA"/>
        </w:rPr>
        <w:t>）中的规定</w:t>
      </w:r>
      <w:r>
        <w:rPr>
          <w:rFonts w:hint="eastAsia" w:ascii="仿宋_GB2312" w:hAnsi="仿宋" w:cs="宋体"/>
          <w:kern w:val="0"/>
          <w:sz w:val="32"/>
          <w:szCs w:val="32"/>
          <w:lang w:val="en-US" w:eastAsia="zh-CN" w:bidi="ar-SA"/>
        </w:rPr>
        <w:t>，茶叶中三氯杀螨醇</w:t>
      </w:r>
      <w:r>
        <w:rPr>
          <w:rFonts w:hint="eastAsia" w:ascii="仿宋_GB2312" w:hAnsi="仿宋" w:eastAsia="仿宋_GB2312" w:cs="仿宋"/>
          <w:sz w:val="32"/>
          <w:szCs w:val="32"/>
        </w:rPr>
        <w:t>≤</w:t>
      </w:r>
      <w:r>
        <w:rPr>
          <w:rFonts w:hint="eastAsia" w:ascii="仿宋_GB2312" w:hAnsi="仿宋" w:eastAsia="仿宋_GB2312"/>
          <w:sz w:val="32"/>
          <w:szCs w:val="32"/>
        </w:rPr>
        <w:t>0.</w:t>
      </w:r>
      <w:r>
        <w:rPr>
          <w:rFonts w:hint="eastAsia" w:ascii="仿宋_GB2312" w:hAnsi="仿宋"/>
          <w:sz w:val="32"/>
          <w:szCs w:val="32"/>
          <w:lang w:val="en-US" w:eastAsia="zh-CN"/>
        </w:rPr>
        <w:t>0</w:t>
      </w:r>
      <w:r>
        <w:rPr>
          <w:rFonts w:hint="eastAsia" w:ascii="仿宋_GB2312" w:hAnsi="仿宋" w:eastAsia="仿宋_GB2312"/>
          <w:sz w:val="32"/>
          <w:szCs w:val="32"/>
        </w:rPr>
        <w:t>1mg/kg。</w:t>
      </w:r>
      <w:r>
        <w:rPr>
          <w:rFonts w:hint="eastAsia" w:ascii="仿宋_GB2312" w:hAnsi="仿宋" w:eastAsia="仿宋_GB2312" w:cs="宋体"/>
          <w:kern w:val="0"/>
          <w:sz w:val="32"/>
          <w:szCs w:val="32"/>
          <w:lang w:val="en-US" w:eastAsia="zh-CN" w:bidi="ar-SA"/>
        </w:rPr>
        <w:t xml:space="preserve">少量的农药残留不会引起人体急性中毒，但长期食 用三氯杀螨醇超标的食品，对人体健康可能有一定影响。 </w:t>
      </w:r>
    </w:p>
    <w:p>
      <w:pPr>
        <w:widowControl/>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八</w:t>
      </w:r>
      <w:r>
        <w:rPr>
          <w:rFonts w:hint="eastAsia" w:ascii="楷体_GB2312" w:hAnsi="宋体" w:eastAsia="楷体_GB2312" w:cs="宋体"/>
          <w:b/>
          <w:kern w:val="0"/>
          <w:sz w:val="32"/>
          <w:szCs w:val="32"/>
        </w:rPr>
        <w:t>）水分</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kinsoku/>
        <w:wordWrap/>
        <w:overflowPunct/>
        <w:topLinePunct w:val="0"/>
        <w:autoSpaceDE/>
        <w:autoSpaceDN/>
        <w:bidi w:val="0"/>
        <w:adjustRightInd/>
        <w:snapToGrid/>
        <w:spacing w:line="560" w:lineRule="exact"/>
        <w:ind w:firstLine="630" w:firstLineChars="196"/>
        <w:jc w:val="left"/>
        <w:textAlignment w:val="auto"/>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w:t>
      </w:r>
      <w:r>
        <w:rPr>
          <w:rFonts w:hint="eastAsia" w:ascii="楷体_GB2312" w:hAnsi="宋体" w:eastAsia="楷体_GB2312" w:cs="宋体"/>
          <w:b/>
          <w:color w:val="auto"/>
          <w:kern w:val="0"/>
          <w:sz w:val="32"/>
          <w:szCs w:val="32"/>
          <w:highlight w:val="none"/>
          <w:lang w:val="en-US" w:eastAsia="zh-CN"/>
        </w:rPr>
        <w:t>九</w:t>
      </w:r>
      <w:r>
        <w:rPr>
          <w:rFonts w:hint="eastAsia" w:ascii="楷体_GB2312" w:hAnsi="宋体" w:eastAsia="楷体_GB2312" w:cs="宋体"/>
          <w:b/>
          <w:color w:val="auto"/>
          <w:kern w:val="0"/>
          <w:sz w:val="32"/>
          <w:szCs w:val="32"/>
          <w:highlight w:val="none"/>
        </w:rPr>
        <w:t>）</w:t>
      </w:r>
      <w:r>
        <w:rPr>
          <w:rFonts w:ascii="楷体_GB2312" w:hAnsi="宋体" w:eastAsia="楷体_GB2312" w:cs="宋体"/>
          <w:b/>
          <w:color w:val="auto"/>
          <w:kern w:val="0"/>
          <w:sz w:val="32"/>
          <w:szCs w:val="32"/>
          <w:highlight w:val="none"/>
        </w:rPr>
        <w:t>糖精钠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糖精钠，又称可溶性糖精，是一种甜味剂。由于其甜度为蔗糖的300到500倍，且不被人体代谢吸收，被广泛用于饮料、果冻、酱腌菜、蜜饯、糕点、凉果</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eastAsia="zh-CN"/>
        </w:rPr>
        <w:t>食品安全国家标准</w:t>
      </w:r>
      <w:r>
        <w:rPr>
          <w:rFonts w:hint="eastAsia" w:ascii="仿宋_GB2312" w:eastAsia="仿宋_GB2312"/>
          <w:sz w:val="32"/>
          <w:szCs w:val="32"/>
          <w:highlight w:val="none"/>
          <w:lang w:val="en-US" w:eastAsia="zh-CN"/>
        </w:rPr>
        <w:t xml:space="preserve"> 食品添加剂使用标准</w:t>
      </w:r>
      <w:r>
        <w:rPr>
          <w:rFonts w:hint="eastAsia" w:ascii="仿宋_GB2312" w:eastAsia="仿宋_GB2312"/>
          <w:sz w:val="32"/>
          <w:szCs w:val="32"/>
          <w:highlight w:val="none"/>
          <w:lang w:eastAsia="zh-CN"/>
        </w:rPr>
        <w:t>》</w:t>
      </w:r>
      <w:r>
        <w:rPr>
          <w:rFonts w:hint="eastAsia" w:ascii="仿宋_GB2312" w:hAnsi="仿宋" w:eastAsia="仿宋_GB2312"/>
          <w:color w:val="auto"/>
          <w:spacing w:val="-6"/>
          <w:sz w:val="32"/>
          <w:szCs w:val="32"/>
          <w:highlight w:val="none"/>
        </w:rPr>
        <w:t>（GB</w:t>
      </w:r>
      <w:r>
        <w:rPr>
          <w:rFonts w:hint="eastAsia" w:ascii="仿宋_GB2312" w:hAnsi="仿宋" w:eastAsia="仿宋_GB2312"/>
          <w:color w:val="auto"/>
          <w:sz w:val="32"/>
          <w:szCs w:val="32"/>
          <w:highlight w:val="none"/>
        </w:rPr>
        <w:t xml:space="preserve"> 2760-2014）中规定</w:t>
      </w:r>
      <w:r>
        <w:rPr>
          <w:rFonts w:hint="eastAsia" w:ascii="仿宋_GB2312" w:hAnsi="仿宋" w:eastAsia="仿宋_GB2312"/>
          <w:color w:val="auto"/>
          <w:sz w:val="32"/>
          <w:szCs w:val="32"/>
          <w:highlight w:val="none"/>
          <w:lang w:eastAsia="zh-CN"/>
        </w:rPr>
        <w:t>，</w:t>
      </w:r>
      <w:r>
        <w:rPr>
          <w:rFonts w:hint="eastAsia" w:ascii="仿宋_GB2312" w:hAnsi="仿宋"/>
          <w:color w:val="auto"/>
          <w:sz w:val="32"/>
          <w:szCs w:val="32"/>
          <w:highlight w:val="none"/>
          <w:lang w:eastAsia="zh-CN"/>
        </w:rPr>
        <w:t>冷冻饮品（食用冰除外）中糖精钠(以糖精计)应</w:t>
      </w:r>
      <w:r>
        <w:rPr>
          <w:rFonts w:hint="eastAsia" w:ascii="仿宋_GB2312" w:hAnsi="仿宋" w:eastAsia="仿宋_GB2312"/>
          <w:sz w:val="32"/>
          <w:szCs w:val="32"/>
        </w:rPr>
        <w:t>≤</w:t>
      </w:r>
      <w:r>
        <w:rPr>
          <w:rFonts w:hint="eastAsia" w:ascii="仿宋_GB2312" w:hAnsi="仿宋"/>
          <w:sz w:val="32"/>
          <w:szCs w:val="32"/>
          <w:lang w:val="en-US" w:eastAsia="zh-CN"/>
        </w:rPr>
        <w:t>0.15</w:t>
      </w:r>
      <w:r>
        <w:rPr>
          <w:rFonts w:hint="eastAsia" w:ascii="仿宋_GB2312" w:hAnsi="仿宋" w:eastAsia="仿宋_GB2312"/>
          <w:sz w:val="32"/>
          <w:szCs w:val="32"/>
        </w:rPr>
        <w:t>g/</w:t>
      </w:r>
      <w:r>
        <w:rPr>
          <w:rFonts w:hint="eastAsia" w:ascii="仿宋_GB2312" w:hAnsi="仿宋"/>
          <w:sz w:val="32"/>
          <w:szCs w:val="32"/>
          <w:lang w:val="en-US" w:eastAsia="zh-CN"/>
        </w:rPr>
        <w:t>k</w:t>
      </w:r>
      <w:r>
        <w:rPr>
          <w:rFonts w:hint="eastAsia" w:ascii="仿宋_GB2312" w:hAnsi="仿宋" w:eastAsia="仿宋_GB2312"/>
          <w:sz w:val="32"/>
          <w:szCs w:val="32"/>
        </w:rPr>
        <w:t>g</w:t>
      </w:r>
      <w:r>
        <w:rPr>
          <w:rFonts w:hint="eastAsia" w:ascii="仿宋_GB2312" w:hAnsi="仿宋" w:eastAsia="仿宋_GB2312"/>
          <w:color w:val="auto"/>
          <w:sz w:val="32"/>
          <w:szCs w:val="32"/>
          <w:highlight w:val="none"/>
          <w:lang w:eastAsia="zh-CN"/>
        </w:rPr>
        <w:t>。</w:t>
      </w:r>
      <w:r>
        <w:rPr>
          <w:rFonts w:hint="eastAsia" w:ascii="仿宋_GB2312" w:eastAsia="仿宋_GB2312"/>
          <w:sz w:val="32"/>
          <w:szCs w:val="32"/>
          <w:highlight w:val="none"/>
        </w:rPr>
        <w:t>个别企业为了追逐利润，仍出现不合格产品，其不合格的主要原因为：原辅材料质量控制不严，盲目使用一些</w:t>
      </w:r>
      <w:bookmarkStart w:id="0" w:name="_GoBack"/>
      <w:bookmarkEnd w:id="0"/>
      <w:r>
        <w:rPr>
          <w:rFonts w:hint="eastAsia" w:ascii="仿宋_GB2312"/>
          <w:sz w:val="32"/>
          <w:szCs w:val="32"/>
          <w:highlight w:val="none"/>
          <w:lang w:eastAsia="zh-CN"/>
        </w:rPr>
        <w:t>成分</w:t>
      </w:r>
      <w:r>
        <w:rPr>
          <w:rFonts w:hint="eastAsia" w:ascii="仿宋_GB2312" w:eastAsia="仿宋_GB2312"/>
          <w:sz w:val="32"/>
          <w:szCs w:val="32"/>
          <w:highlight w:val="none"/>
        </w:rPr>
        <w:t>不明确的复合添加剂，造成糖精钠超标。不合理使用糖精钠，会对人体健康产生不良影响，尤其少年儿童免疫系统发育尚不成熟，肝脏代谢排毒能力相对较弱，危害更加明显。</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（十）</w:t>
      </w:r>
      <w:r>
        <w:rPr>
          <w:rFonts w:hint="eastAsia" w:ascii="楷体_GB2312" w:hAnsi="楷体" w:eastAsia="楷体_GB2312" w:cs="仿宋_GB2312"/>
          <w:b/>
          <w:sz w:val="32"/>
          <w:szCs w:val="32"/>
        </w:rPr>
        <w:t>二氧化硫残留量</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食品中的二氧化硫残留通常是指二氧化硫以及焦亚硫酸钠、焦亚硫酸钾、亚硫酸</w:t>
      </w:r>
      <w:r>
        <w:rPr>
          <w:rFonts w:hint="eastAsia" w:ascii="仿宋_GB2312" w:hAnsi="仿宋" w:eastAsia="仿宋_GB2312" w:cs="宋体"/>
          <w:kern w:val="0"/>
          <w:sz w:val="32"/>
          <w:szCs w:val="32"/>
        </w:rPr>
        <w:t>钠、亚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pacing w:val="14"/>
          <w:sz w:val="32"/>
          <w:szCs w:val="32"/>
        </w:rPr>
        <w:t>《食品安全国家标准 食品添加剂使用标准》</w:t>
      </w:r>
      <w:r>
        <w:rPr>
          <w:rFonts w:hint="eastAsia" w:ascii="仿宋_GB2312" w:hAnsi="仿宋" w:eastAsia="仿宋_GB2312"/>
          <w:spacing w:val="-6"/>
          <w:sz w:val="32"/>
          <w:szCs w:val="32"/>
        </w:rPr>
        <w:t>（GB</w:t>
      </w:r>
      <w:r>
        <w:rPr>
          <w:rFonts w:hint="eastAsia" w:ascii="仿宋_GB2312" w:hAnsi="仿宋" w:eastAsia="仿宋_GB2312"/>
          <w:sz w:val="32"/>
          <w:szCs w:val="32"/>
        </w:rPr>
        <w:t xml:space="preserve"> 2760-2014）中规定，干制蔬菜中二氧化硫残留量应≤0.2 g/kg</w:t>
      </w:r>
      <w:r>
        <w:rPr>
          <w:rFonts w:hint="eastAsia" w:ascii="仿宋_GB2312" w:hAnsi="仿宋" w:eastAsia="仿宋_GB2312"/>
          <w:sz w:val="32"/>
          <w:szCs w:val="32"/>
          <w:lang w:val="en-US" w:eastAsia="zh-CN"/>
        </w:rPr>
        <w:t>。</w:t>
      </w:r>
      <w:r>
        <w:rPr>
          <w:rFonts w:ascii="仿宋_GB2312" w:hAnsi="仿宋" w:eastAsia="仿宋_GB2312" w:cs="宋体"/>
          <w:kern w:val="0"/>
          <w:sz w:val="32"/>
          <w:szCs w:val="32"/>
          <w:lang w:val="zh-CN"/>
        </w:rPr>
        <w:t>摄入少量二氧化硫，可在人体内经酶转化后由尿液排出体外，一般不会对人体健康造成不良影响，</w:t>
      </w:r>
      <w:r>
        <w:rPr>
          <w:rFonts w:hint="eastAsia" w:ascii="仿宋_GB2312" w:hAnsi="仿宋" w:eastAsia="仿宋_GB2312" w:cs="宋体"/>
          <w:color w:val="000000"/>
          <w:kern w:val="0"/>
          <w:sz w:val="32"/>
          <w:szCs w:val="32"/>
        </w:rPr>
        <w:t>若长期大量摄入二氧化硫残留超标的食品，则可能对人体健康造成危害，其毒性表现为胃肠道反应，如恶心、呕吐等。此外，还会影响钙吸收，使机体钙丢失。</w:t>
      </w:r>
    </w:p>
    <w:p>
      <w:pPr>
        <w:autoSpaceDN w:val="0"/>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十一</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铅是一种能够在生物体内蓄积且排除缓慢的重金属污染物。《食品安全国家标准 食品中污染物限量》（GB 2762-2017）中规定，</w:t>
      </w:r>
      <w:r>
        <w:rPr>
          <w:rFonts w:hint="eastAsia" w:ascii="仿宋_GB2312" w:hAnsi="仿宋" w:eastAsia="仿宋_GB2312"/>
          <w:sz w:val="32"/>
          <w:szCs w:val="32"/>
        </w:rPr>
        <w:t>干制蔬菜中的铅(以Pb计)应≤0.1/(1-脱水率)(mg/kg)</w:t>
      </w:r>
      <w:r>
        <w:rPr>
          <w:rFonts w:hint="eastAsia" w:ascii="仿宋_GB2312" w:hAnsi="仿宋"/>
          <w:sz w:val="32"/>
          <w:szCs w:val="32"/>
          <w:lang w:eastAsia="zh-CN"/>
        </w:rPr>
        <w:t>，薯类干制品的铅</w:t>
      </w:r>
      <w:r>
        <w:rPr>
          <w:rFonts w:hint="eastAsia" w:ascii="仿宋_GB2312" w:hAnsi="仿宋" w:eastAsia="仿宋_GB2312"/>
          <w:sz w:val="32"/>
          <w:szCs w:val="32"/>
        </w:rPr>
        <w:t>(以Pb计)应≤0.</w:t>
      </w:r>
      <w:r>
        <w:rPr>
          <w:rFonts w:hint="eastAsia" w:ascii="仿宋_GB2312" w:hAnsi="仿宋"/>
          <w:sz w:val="32"/>
          <w:szCs w:val="32"/>
          <w:lang w:val="en-US" w:eastAsia="zh-CN"/>
        </w:rPr>
        <w:t>2</w:t>
      </w:r>
      <w:r>
        <w:rPr>
          <w:rFonts w:hint="eastAsia" w:ascii="仿宋_GB2312" w:hAnsi="仿宋" w:eastAsia="仿宋_GB2312"/>
          <w:sz w:val="32"/>
          <w:szCs w:val="32"/>
        </w:rPr>
        <w:t>/(1-脱水率)(mg/kg)</w:t>
      </w:r>
      <w:r>
        <w:rPr>
          <w:rFonts w:hint="eastAsia" w:ascii="仿宋_GB2312" w:hAnsi="仿宋" w:eastAsia="仿宋_GB2312"/>
          <w:color w:val="auto"/>
          <w:sz w:val="32"/>
          <w:szCs w:val="32"/>
        </w:rPr>
        <w:t>。铅蓄积在体内可能会影响大脑和神经系统，尤其会对儿童造成智力发育障碍和表现行为异常。</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二</w:t>
      </w:r>
      <w:r>
        <w:rPr>
          <w:rFonts w:hint="eastAsia" w:ascii="楷体_GB2312" w:hAnsi="楷体" w:eastAsia="楷体_GB2312" w:cs="Arial"/>
          <w:b/>
          <w:sz w:val="32"/>
          <w:szCs w:val="32"/>
          <w:shd w:val="clear" w:color="auto" w:fill="FFFFFF"/>
        </w:rPr>
        <w:t>）氧乐果</w:t>
      </w:r>
    </w:p>
    <w:p>
      <w:pPr>
        <w:spacing w:line="560" w:lineRule="exact"/>
        <w:ind w:firstLine="640" w:firstLineChars="200"/>
        <w:rPr>
          <w:rFonts w:ascii="仿宋_GB2312" w:hAnsi="楷体" w:eastAsia="仿宋_GB2312" w:cs="Arial"/>
          <w:b/>
          <w:color w:val="auto"/>
          <w:sz w:val="32"/>
          <w:szCs w:val="32"/>
          <w:shd w:val="clear" w:color="auto" w:fill="FFFFFF"/>
        </w:rPr>
      </w:pPr>
      <w:r>
        <w:rPr>
          <w:rFonts w:hint="eastAsia" w:ascii="仿宋_GB2312" w:hAnsi="仿宋" w:eastAsia="仿宋_GB2312"/>
          <w:color w:val="auto"/>
          <w:sz w:val="32"/>
          <w:szCs w:val="32"/>
        </w:rPr>
        <w:t>氧乐果是一种内吸性强，杀虫活性高的杀虫剂。《食品安全国家标准 食品中农药最大残留限量》（GB 2763-20</w:t>
      </w:r>
      <w:r>
        <w:rPr>
          <w:rFonts w:hint="eastAsia" w:ascii="仿宋_GB2312" w:hAnsi="仿宋"/>
          <w:color w:val="auto"/>
          <w:sz w:val="32"/>
          <w:szCs w:val="32"/>
          <w:lang w:val="en-US" w:eastAsia="zh-CN"/>
        </w:rPr>
        <w:t>19</w:t>
      </w:r>
      <w:r>
        <w:rPr>
          <w:rFonts w:hint="eastAsia" w:ascii="仿宋_GB2312" w:hAnsi="仿宋" w:eastAsia="仿宋_GB2312"/>
          <w:color w:val="auto"/>
          <w:sz w:val="32"/>
          <w:szCs w:val="32"/>
        </w:rPr>
        <w:t>）中规定，</w:t>
      </w:r>
      <w:r>
        <w:rPr>
          <w:rFonts w:hint="eastAsia" w:ascii="仿宋_GB2312" w:hAnsi="仿宋"/>
          <w:color w:val="auto"/>
          <w:sz w:val="32"/>
          <w:szCs w:val="32"/>
          <w:lang w:eastAsia="zh-CN"/>
        </w:rPr>
        <w:t>茶叶中</w:t>
      </w:r>
      <w:r>
        <w:rPr>
          <w:rFonts w:hint="eastAsia" w:ascii="仿宋_GB2312" w:hAnsi="仿宋" w:eastAsia="仿宋_GB2312"/>
          <w:color w:val="auto"/>
          <w:sz w:val="32"/>
          <w:szCs w:val="32"/>
        </w:rPr>
        <w:t>中氧乐果应≤0.0</w:t>
      </w:r>
      <w:r>
        <w:rPr>
          <w:rFonts w:hint="eastAsia" w:ascii="仿宋_GB2312" w:hAnsi="仿宋"/>
          <w:color w:val="auto"/>
          <w:sz w:val="32"/>
          <w:szCs w:val="32"/>
          <w:lang w:val="en-US" w:eastAsia="zh-CN"/>
        </w:rPr>
        <w:t>5</w:t>
      </w:r>
      <w:r>
        <w:rPr>
          <w:rFonts w:hint="eastAsia" w:ascii="仿宋_GB2312" w:hAnsi="仿宋" w:eastAsia="仿宋_GB2312"/>
          <w:color w:val="auto"/>
          <w:sz w:val="32"/>
          <w:szCs w:val="32"/>
        </w:rPr>
        <w:t>mg/kg。大部分喷洒的氧乐果会逸散在周围的土壤、大气、水体中，造成生态系统的污染，有可能会对环境生物产生潜在危害；</w:t>
      </w:r>
      <w:r>
        <w:rPr>
          <w:rFonts w:hint="eastAsia" w:ascii="仿宋_GB2312" w:hAnsi="仿宋"/>
          <w:color w:val="auto"/>
          <w:sz w:val="32"/>
          <w:szCs w:val="32"/>
          <w:lang w:eastAsia="zh-CN"/>
        </w:rPr>
        <w:t>食品</w:t>
      </w:r>
      <w:r>
        <w:rPr>
          <w:rFonts w:hint="eastAsia" w:ascii="仿宋_GB2312" w:hAnsi="仿宋" w:eastAsia="仿宋_GB2312"/>
          <w:color w:val="auto"/>
          <w:sz w:val="32"/>
          <w:szCs w:val="32"/>
        </w:rPr>
        <w:t>中残留的氧乐果进入人体后对体内胆碱酯酶有抑制作用，可能会对人体造成各种急慢性毒性，甚至致癌致突变。</w:t>
      </w:r>
    </w:p>
    <w:p>
      <w:pPr>
        <w:spacing w:line="560" w:lineRule="exact"/>
        <w:ind w:firstLine="643" w:firstLineChars="200"/>
        <w:rPr>
          <w:rFonts w:hint="eastAsia" w:ascii="楷体_GB2312" w:hAnsi="楷体" w:eastAsia="楷体_GB2312" w:cs="Arial"/>
          <w:b/>
          <w:sz w:val="32"/>
          <w:szCs w:val="32"/>
          <w:shd w:val="clear" w:color="auto" w:fill="FFFFFF"/>
          <w:lang w:val="en-US" w:eastAsia="zh-CN"/>
        </w:rPr>
      </w:pPr>
      <w:r>
        <w:rPr>
          <w:rFonts w:hint="eastAsia" w:ascii="楷体_GB2312" w:hAnsi="楷体" w:eastAsia="楷体_GB2312" w:cs="Arial"/>
          <w:b/>
          <w:sz w:val="32"/>
          <w:szCs w:val="32"/>
          <w:shd w:val="clear" w:color="auto" w:fill="FFFFFF"/>
          <w:lang w:val="en-US" w:eastAsia="zh-CN"/>
        </w:rPr>
        <w:t>（十三）水胺硫磷</w:t>
      </w:r>
    </w:p>
    <w:p>
      <w:pPr>
        <w:widowControl/>
        <w:shd w:val="clear" w:color="auto" w:fill="FEFEFE"/>
        <w:spacing w:line="560" w:lineRule="exact"/>
        <w:rPr>
          <w:rFonts w:hint="default"/>
          <w:lang w:val="en-US" w:eastAsia="zh-CN"/>
        </w:rPr>
      </w:pPr>
      <w:r>
        <w:rPr>
          <w:rFonts w:hint="eastAsia" w:ascii="仿宋_GB2312" w:hAnsi="仿宋" w:eastAsia="仿宋_GB2312" w:cs="宋体"/>
          <w:kern w:val="0"/>
          <w:sz w:val="32"/>
          <w:szCs w:val="32"/>
          <w:lang w:val="zh-CN"/>
        </w:rPr>
        <w:t>水胺硫磷为有机磷杀虫剂，兼具胃毒和杀卵作用，主要用于防治果树、水稻和棉花虫害。《食品安全国家标准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w:t>
      </w:r>
      <w:r>
        <w:rPr>
          <w:rFonts w:hint="eastAsia" w:ascii="仿宋_GB2312" w:hAnsi="仿宋" w:cs="宋体"/>
          <w:kern w:val="0"/>
          <w:sz w:val="32"/>
          <w:szCs w:val="32"/>
          <w:lang w:val="en-US" w:eastAsia="zh-CN"/>
        </w:rPr>
        <w:t>21</w:t>
      </w:r>
      <w:r>
        <w:rPr>
          <w:rFonts w:hint="eastAsia" w:ascii="仿宋_GB2312" w:hAnsi="仿宋" w:eastAsia="仿宋_GB2312" w:cs="宋体"/>
          <w:kern w:val="0"/>
          <w:sz w:val="32"/>
          <w:szCs w:val="32"/>
          <w:lang w:val="zh-CN"/>
        </w:rPr>
        <w:t>）中规定，</w:t>
      </w:r>
      <w:r>
        <w:rPr>
          <w:rFonts w:hint="eastAsia" w:ascii="仿宋_GB2312" w:hAnsi="仿宋" w:cs="宋体"/>
          <w:kern w:val="0"/>
          <w:sz w:val="32"/>
          <w:szCs w:val="32"/>
          <w:lang w:val="zh-CN"/>
        </w:rPr>
        <w:t>鳞茎类</w:t>
      </w:r>
      <w:r>
        <w:rPr>
          <w:rFonts w:hint="eastAsia" w:ascii="仿宋_GB2312" w:hAnsi="仿宋" w:eastAsia="仿宋_GB2312" w:cs="宋体"/>
          <w:kern w:val="0"/>
          <w:sz w:val="32"/>
          <w:szCs w:val="32"/>
          <w:lang w:val="zh-CN"/>
        </w:rPr>
        <w:t>蔬菜中水胺硫磷</w:t>
      </w:r>
      <w:r>
        <w:rPr>
          <w:rFonts w:hint="eastAsia" w:ascii="仿宋_GB2312" w:hAnsi="仿宋" w:cs="宋体"/>
          <w:kern w:val="0"/>
          <w:sz w:val="32"/>
          <w:szCs w:val="32"/>
          <w:lang w:val="zh-CN"/>
        </w:rPr>
        <w:t>应</w:t>
      </w:r>
      <w:r>
        <w:rPr>
          <w:rFonts w:hint="eastAsia" w:ascii="仿宋_GB2312" w:hAnsi="仿宋_GB2312" w:eastAsia="仿宋_GB2312" w:cs="仿宋_GB2312"/>
          <w:kern w:val="2"/>
          <w:sz w:val="32"/>
          <w:szCs w:val="32"/>
          <w:lang w:val="en-US" w:eastAsia="zh-CN" w:bidi="ar-SA"/>
        </w:rPr>
        <w:t>≤</w:t>
      </w:r>
      <w:r>
        <w:rPr>
          <w:rFonts w:hint="eastAsia" w:ascii="仿宋_GB2312" w:hAnsi="仿宋" w:eastAsia="仿宋_GB2312" w:cs="宋体"/>
          <w:kern w:val="0"/>
          <w:sz w:val="32"/>
          <w:szCs w:val="32"/>
          <w:lang w:val="zh-CN"/>
        </w:rPr>
        <w:t>0.05mg/kg。水胺硫磷属于高毒农药，主要通过食道、皮肤和呼吸道引起中毒。少量的农药残留不会引起人体急性中毒，但长期食用农药残留超标的食品，对人体健康有一定影响。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A362104-7BCE-4879-B53E-2176887E4050}"/>
  </w:font>
  <w:font w:name="黑体">
    <w:panose1 w:val="02010609060101010101"/>
    <w:charset w:val="86"/>
    <w:family w:val="auto"/>
    <w:pitch w:val="default"/>
    <w:sig w:usb0="800002BF" w:usb1="38CF7CFA" w:usb2="00000016" w:usb3="00000000" w:csb0="00040001" w:csb1="00000000"/>
    <w:embedRegular r:id="rId2" w:fontKey="{005C0A43-9529-44B6-BC96-69B53F8EA1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F1888D6-BCA8-462E-8F4B-BF3BBB126AF2}"/>
  </w:font>
  <w:font w:name="楷体_GB2312">
    <w:panose1 w:val="02010609030101010101"/>
    <w:charset w:val="86"/>
    <w:family w:val="auto"/>
    <w:pitch w:val="default"/>
    <w:sig w:usb0="00000001" w:usb1="080E0000" w:usb2="00000000" w:usb3="00000000" w:csb0="00040000" w:csb1="00000000"/>
    <w:embedRegular r:id="rId4" w:fontKey="{B38B08FD-08C5-4E9B-8916-8FF0FDE2BF45}"/>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embedRegular r:id="rId5" w:fontKey="{8E687225-49CF-47E3-8C95-7667034D0AB8}"/>
  </w:font>
  <w:font w:name="华文中宋">
    <w:panose1 w:val="02010600040101010101"/>
    <w:charset w:val="86"/>
    <w:family w:val="auto"/>
    <w:pitch w:val="default"/>
    <w:sig w:usb0="00000000" w:usb1="00000000" w:usb2="00000000" w:usb3="00000000" w:csb0="00000000" w:csb1="00000000"/>
    <w:embedRegular r:id="rId6" w:fontKey="{B2103C82-AB66-412E-BA4E-DD6984ECE7BB}"/>
  </w:font>
  <w:font w:name="仿宋">
    <w:panose1 w:val="02010609060101010101"/>
    <w:charset w:val="86"/>
    <w:family w:val="modern"/>
    <w:pitch w:val="default"/>
    <w:sig w:usb0="800002BF" w:usb1="38CF7CFA" w:usb2="00000016" w:usb3="00000000" w:csb0="00040001" w:csb1="00000000"/>
    <w:embedRegular r:id="rId7" w:fontKey="{95D1A821-4D8C-435F-B7AC-3E7BD4EFDD44}"/>
  </w:font>
  <w:font w:name="楷体">
    <w:panose1 w:val="02010609060101010101"/>
    <w:charset w:val="86"/>
    <w:family w:val="modern"/>
    <w:pitch w:val="default"/>
    <w:sig w:usb0="800002BF" w:usb1="38CF7CFA" w:usb2="00000016" w:usb3="00000000" w:csb0="00040001" w:csb1="00000000"/>
    <w:embedRegular r:id="rId8" w:fontKey="{ECC514B9-DC21-4700-A12F-BB0B586E62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0139C9"/>
    <w:rsid w:val="006B1DCC"/>
    <w:rsid w:val="00724BD2"/>
    <w:rsid w:val="008D6C99"/>
    <w:rsid w:val="00B977A2"/>
    <w:rsid w:val="00BE4BAD"/>
    <w:rsid w:val="010D4506"/>
    <w:rsid w:val="017D0269"/>
    <w:rsid w:val="01880CE2"/>
    <w:rsid w:val="01D53863"/>
    <w:rsid w:val="01DD3C4D"/>
    <w:rsid w:val="03365C46"/>
    <w:rsid w:val="034743C9"/>
    <w:rsid w:val="034D2081"/>
    <w:rsid w:val="034F1986"/>
    <w:rsid w:val="03E020C5"/>
    <w:rsid w:val="03FD00B3"/>
    <w:rsid w:val="042311AF"/>
    <w:rsid w:val="055921C9"/>
    <w:rsid w:val="055A195A"/>
    <w:rsid w:val="0597115B"/>
    <w:rsid w:val="06261016"/>
    <w:rsid w:val="066C5CEA"/>
    <w:rsid w:val="06F0528D"/>
    <w:rsid w:val="07C82C95"/>
    <w:rsid w:val="07E04EFC"/>
    <w:rsid w:val="081209FA"/>
    <w:rsid w:val="081B38E6"/>
    <w:rsid w:val="08AD06EB"/>
    <w:rsid w:val="08F00F9F"/>
    <w:rsid w:val="091C5D20"/>
    <w:rsid w:val="0A101FAB"/>
    <w:rsid w:val="0A545255"/>
    <w:rsid w:val="0AEA5DCE"/>
    <w:rsid w:val="0B66492E"/>
    <w:rsid w:val="0C455D22"/>
    <w:rsid w:val="0C6F4539"/>
    <w:rsid w:val="0CD4225F"/>
    <w:rsid w:val="0D6C4E32"/>
    <w:rsid w:val="0E431583"/>
    <w:rsid w:val="0EA926E5"/>
    <w:rsid w:val="0EA93008"/>
    <w:rsid w:val="0EC839C2"/>
    <w:rsid w:val="0F261454"/>
    <w:rsid w:val="10AD16A7"/>
    <w:rsid w:val="1162065F"/>
    <w:rsid w:val="11B32DA0"/>
    <w:rsid w:val="11BA183E"/>
    <w:rsid w:val="11CE6913"/>
    <w:rsid w:val="11E172CB"/>
    <w:rsid w:val="1210526E"/>
    <w:rsid w:val="12AF7645"/>
    <w:rsid w:val="12B51B83"/>
    <w:rsid w:val="139A1CB2"/>
    <w:rsid w:val="13E774D5"/>
    <w:rsid w:val="141B2394"/>
    <w:rsid w:val="1499532A"/>
    <w:rsid w:val="1512088F"/>
    <w:rsid w:val="155219D3"/>
    <w:rsid w:val="15FE7C46"/>
    <w:rsid w:val="16396F4B"/>
    <w:rsid w:val="164E1FAB"/>
    <w:rsid w:val="165773C2"/>
    <w:rsid w:val="16A52765"/>
    <w:rsid w:val="176818BF"/>
    <w:rsid w:val="17C62E78"/>
    <w:rsid w:val="17FA5E44"/>
    <w:rsid w:val="181E6360"/>
    <w:rsid w:val="18F91C2D"/>
    <w:rsid w:val="199008F8"/>
    <w:rsid w:val="19EB104A"/>
    <w:rsid w:val="1A19393D"/>
    <w:rsid w:val="1A81096D"/>
    <w:rsid w:val="1AC759AF"/>
    <w:rsid w:val="1B042E72"/>
    <w:rsid w:val="1B7E0D88"/>
    <w:rsid w:val="1C2B3ECE"/>
    <w:rsid w:val="1C354059"/>
    <w:rsid w:val="1D3D5D17"/>
    <w:rsid w:val="1E3C794C"/>
    <w:rsid w:val="1E8377EE"/>
    <w:rsid w:val="1EFD4E3F"/>
    <w:rsid w:val="1F456A61"/>
    <w:rsid w:val="1FEA3D63"/>
    <w:rsid w:val="200B2815"/>
    <w:rsid w:val="208760C8"/>
    <w:rsid w:val="2103478D"/>
    <w:rsid w:val="219C06C7"/>
    <w:rsid w:val="231A399D"/>
    <w:rsid w:val="24382537"/>
    <w:rsid w:val="248553AF"/>
    <w:rsid w:val="249A66FD"/>
    <w:rsid w:val="255973C6"/>
    <w:rsid w:val="255D305C"/>
    <w:rsid w:val="257D0D7B"/>
    <w:rsid w:val="25D84592"/>
    <w:rsid w:val="26635934"/>
    <w:rsid w:val="26D25598"/>
    <w:rsid w:val="27084E46"/>
    <w:rsid w:val="274815F0"/>
    <w:rsid w:val="27537B32"/>
    <w:rsid w:val="27D171E0"/>
    <w:rsid w:val="282A264F"/>
    <w:rsid w:val="28664823"/>
    <w:rsid w:val="29292876"/>
    <w:rsid w:val="295771E6"/>
    <w:rsid w:val="29DF09A6"/>
    <w:rsid w:val="2A706ED1"/>
    <w:rsid w:val="2A95365C"/>
    <w:rsid w:val="2ACC6C6B"/>
    <w:rsid w:val="2C585E31"/>
    <w:rsid w:val="2C6F3579"/>
    <w:rsid w:val="2C784420"/>
    <w:rsid w:val="2D2D024C"/>
    <w:rsid w:val="2DA27B95"/>
    <w:rsid w:val="2DB1035E"/>
    <w:rsid w:val="2DCA4231"/>
    <w:rsid w:val="2E172668"/>
    <w:rsid w:val="2E6B3A9D"/>
    <w:rsid w:val="2E871900"/>
    <w:rsid w:val="2F085758"/>
    <w:rsid w:val="2F3F7F56"/>
    <w:rsid w:val="2F4F707A"/>
    <w:rsid w:val="2FD45D99"/>
    <w:rsid w:val="2FFC71C6"/>
    <w:rsid w:val="307B5CC3"/>
    <w:rsid w:val="308A4336"/>
    <w:rsid w:val="30B3361E"/>
    <w:rsid w:val="31200851"/>
    <w:rsid w:val="3189778C"/>
    <w:rsid w:val="31AA7543"/>
    <w:rsid w:val="31EA5456"/>
    <w:rsid w:val="31EF1FC4"/>
    <w:rsid w:val="323F00BC"/>
    <w:rsid w:val="324700B2"/>
    <w:rsid w:val="330F0153"/>
    <w:rsid w:val="33132CF8"/>
    <w:rsid w:val="3334531C"/>
    <w:rsid w:val="34264611"/>
    <w:rsid w:val="348E513C"/>
    <w:rsid w:val="34B74329"/>
    <w:rsid w:val="35BC7A15"/>
    <w:rsid w:val="36A26439"/>
    <w:rsid w:val="36A86284"/>
    <w:rsid w:val="372845B2"/>
    <w:rsid w:val="37790A88"/>
    <w:rsid w:val="3787038C"/>
    <w:rsid w:val="37DD6246"/>
    <w:rsid w:val="382D7593"/>
    <w:rsid w:val="38622AFA"/>
    <w:rsid w:val="387272BF"/>
    <w:rsid w:val="38865B2F"/>
    <w:rsid w:val="39264334"/>
    <w:rsid w:val="39275408"/>
    <w:rsid w:val="398B0B0F"/>
    <w:rsid w:val="39C64A66"/>
    <w:rsid w:val="3AB301FA"/>
    <w:rsid w:val="3B1904CB"/>
    <w:rsid w:val="3B2518DE"/>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D71D53"/>
    <w:rsid w:val="43974288"/>
    <w:rsid w:val="439F5506"/>
    <w:rsid w:val="44141429"/>
    <w:rsid w:val="44896D41"/>
    <w:rsid w:val="44D452BA"/>
    <w:rsid w:val="45104BE6"/>
    <w:rsid w:val="460F4F06"/>
    <w:rsid w:val="464A4562"/>
    <w:rsid w:val="4848609B"/>
    <w:rsid w:val="4864409A"/>
    <w:rsid w:val="48961A2D"/>
    <w:rsid w:val="48E60C18"/>
    <w:rsid w:val="49346CC6"/>
    <w:rsid w:val="497B5E1D"/>
    <w:rsid w:val="499A7ACA"/>
    <w:rsid w:val="4B37566A"/>
    <w:rsid w:val="4C7A639D"/>
    <w:rsid w:val="4CE91A69"/>
    <w:rsid w:val="4DAC348D"/>
    <w:rsid w:val="4E0D626A"/>
    <w:rsid w:val="4EBC0748"/>
    <w:rsid w:val="4ECC3762"/>
    <w:rsid w:val="4F4940D8"/>
    <w:rsid w:val="4FE23640"/>
    <w:rsid w:val="4FED4605"/>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737759B"/>
    <w:rsid w:val="577D74E9"/>
    <w:rsid w:val="57FE2087"/>
    <w:rsid w:val="586B71C9"/>
    <w:rsid w:val="590154BD"/>
    <w:rsid w:val="59527B6B"/>
    <w:rsid w:val="59E33FF0"/>
    <w:rsid w:val="59EA54F5"/>
    <w:rsid w:val="5A5B4E1E"/>
    <w:rsid w:val="5B13142F"/>
    <w:rsid w:val="5B98016E"/>
    <w:rsid w:val="5C000884"/>
    <w:rsid w:val="5C224F8E"/>
    <w:rsid w:val="5C240B88"/>
    <w:rsid w:val="5C317F92"/>
    <w:rsid w:val="5D1C02FB"/>
    <w:rsid w:val="5E0606ED"/>
    <w:rsid w:val="5E0D1B19"/>
    <w:rsid w:val="5E214E94"/>
    <w:rsid w:val="5E275C6B"/>
    <w:rsid w:val="5E553A15"/>
    <w:rsid w:val="5E5703AB"/>
    <w:rsid w:val="5E7004E1"/>
    <w:rsid w:val="5E9E3209"/>
    <w:rsid w:val="5ECD4C7F"/>
    <w:rsid w:val="5F093C78"/>
    <w:rsid w:val="5F5A1107"/>
    <w:rsid w:val="5F831A12"/>
    <w:rsid w:val="6048573D"/>
    <w:rsid w:val="60FF5FDD"/>
    <w:rsid w:val="617E5460"/>
    <w:rsid w:val="61E02C8B"/>
    <w:rsid w:val="625323D6"/>
    <w:rsid w:val="62547A4D"/>
    <w:rsid w:val="638239E5"/>
    <w:rsid w:val="638C3D00"/>
    <w:rsid w:val="63E10B0C"/>
    <w:rsid w:val="63F3279C"/>
    <w:rsid w:val="640059A5"/>
    <w:rsid w:val="640612C6"/>
    <w:rsid w:val="647A6E52"/>
    <w:rsid w:val="64EE5D8F"/>
    <w:rsid w:val="6500065A"/>
    <w:rsid w:val="6537764C"/>
    <w:rsid w:val="65E578BD"/>
    <w:rsid w:val="666A4D62"/>
    <w:rsid w:val="668A5EDC"/>
    <w:rsid w:val="66927680"/>
    <w:rsid w:val="67180D7A"/>
    <w:rsid w:val="6756300A"/>
    <w:rsid w:val="67663F7B"/>
    <w:rsid w:val="6792245C"/>
    <w:rsid w:val="67AC56C6"/>
    <w:rsid w:val="6801069F"/>
    <w:rsid w:val="680F265C"/>
    <w:rsid w:val="687D6CC8"/>
    <w:rsid w:val="68E66C0F"/>
    <w:rsid w:val="690A7BA1"/>
    <w:rsid w:val="69113DCA"/>
    <w:rsid w:val="69130912"/>
    <w:rsid w:val="69CB77D8"/>
    <w:rsid w:val="6A323B2C"/>
    <w:rsid w:val="6AC33480"/>
    <w:rsid w:val="6B1806CB"/>
    <w:rsid w:val="6C2646D1"/>
    <w:rsid w:val="6C721C9A"/>
    <w:rsid w:val="6C942E03"/>
    <w:rsid w:val="6D731B27"/>
    <w:rsid w:val="6D76258B"/>
    <w:rsid w:val="6E7050A9"/>
    <w:rsid w:val="6E9610D2"/>
    <w:rsid w:val="6ECD36FF"/>
    <w:rsid w:val="6F1957D5"/>
    <w:rsid w:val="70254438"/>
    <w:rsid w:val="71754C6E"/>
    <w:rsid w:val="71DB6825"/>
    <w:rsid w:val="72A04A1F"/>
    <w:rsid w:val="72F24D9D"/>
    <w:rsid w:val="733275F5"/>
    <w:rsid w:val="738026E3"/>
    <w:rsid w:val="73A979E7"/>
    <w:rsid w:val="74104D2B"/>
    <w:rsid w:val="7432739D"/>
    <w:rsid w:val="744F4674"/>
    <w:rsid w:val="747927C4"/>
    <w:rsid w:val="754A7ABC"/>
    <w:rsid w:val="754B170B"/>
    <w:rsid w:val="756F7B86"/>
    <w:rsid w:val="75A82AC5"/>
    <w:rsid w:val="75CA36CA"/>
    <w:rsid w:val="763955BF"/>
    <w:rsid w:val="76EB5065"/>
    <w:rsid w:val="773A01B0"/>
    <w:rsid w:val="77FC16E5"/>
    <w:rsid w:val="78BC4EF9"/>
    <w:rsid w:val="78C82F23"/>
    <w:rsid w:val="78FE0A2F"/>
    <w:rsid w:val="792F0912"/>
    <w:rsid w:val="796A5F35"/>
    <w:rsid w:val="7A7C11A9"/>
    <w:rsid w:val="7A895DC7"/>
    <w:rsid w:val="7B5E04A9"/>
    <w:rsid w:val="7BE41421"/>
    <w:rsid w:val="7C073518"/>
    <w:rsid w:val="7C4079FA"/>
    <w:rsid w:val="7C8F2CF0"/>
    <w:rsid w:val="7F2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5</TotalTime>
  <ScaleCrop>false</ScaleCrop>
  <LinksUpToDate>false</LinksUpToDate>
  <CharactersWithSpaces>4018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刘思畅</cp:lastModifiedBy>
  <dcterms:modified xsi:type="dcterms:W3CDTF">2024-06-26T06:21:37Z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2BCBADEB164F420AB7CA92621D404113</vt:lpwstr>
  </property>
</Properties>
</file>