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承 诺 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申请“个转企”奖励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区的注册地址为真实经营的场所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“个转企”奖励资金申请及发放期间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，本企业不具有以下情况：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企业投资人（股东）身份；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2.转型后企业未按照本方案的要求、条件、程序和材料提出“个转企”奖励申请的，或提交虚假申请材料的;3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提交的文件、证件和有关附件真实、合法、有效，复印文本与原件一致，对因提交虚假文件、证件所引发的一切后果承担相应的法律责任。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30" w:firstLineChars="2300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>签名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>盖章）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    月    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623E0AE8"/>
    <w:rsid w:val="0B335CF7"/>
    <w:rsid w:val="23D7452C"/>
    <w:rsid w:val="370916E7"/>
    <w:rsid w:val="3AA917A5"/>
    <w:rsid w:val="3B934935"/>
    <w:rsid w:val="623E0AE8"/>
    <w:rsid w:val="7A8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2023-02-23T08:50:00Z</dcterms:created>
  <dc:creator>钟广鸿</dc:creator>
  <cp:lastModifiedBy>wukaili</cp:lastModifiedBy>
  <dcterms:modified xsi:type="dcterms:W3CDTF">2023-09-19T03:49:44Z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47A202E482564C49ACECE4C82205C9BE_13</vt:lpwstr>
  </property>
</Properties>
</file>